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Малые архитектурные формы.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Общие требования к качественным характеристикам малых архитектурных форм и элементов благоустройства территорий общего пользования городского поселения город Калач: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стилевое единство с архитектурным окружением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одной территориальной единицы;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художественный замысел с привязкой к территории;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преимущество конструкций серийного производства – сертификация, стандартизация;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изготовление по проектам в строгом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принятыми решениями;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материал изготовления - прочный, устойчивый к условиям эксплуатации;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вандалоустойчивость;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безопасность;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доступность для маломобильных групп населения;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достаточность в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и количестве.</w:t>
      </w:r>
    </w:p>
    <w:p>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Приказа</w:t>
      </w:r>
      <w:proofErr w:type="gramEnd"/>
      <w:r>
        <w:rPr>
          <w:rFonts w:ascii="Times New Roman" w:hAnsi="Times New Roman" w:cs="Times New Roman"/>
          <w:sz w:val="28"/>
          <w:szCs w:val="28"/>
        </w:rPr>
        <w:t xml:space="preserve"> Минрегиона РФ от 27.12.2011 N 613 «Об утверждении методических рекомендаций по разработке норм и правил по благоустройству территорий Муниципальных образований» устанавливаются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При дальнейшей эксплуатации таких благоустроенных территорий, обеспечиваются требования охраны здоровья человека, исторической и природной среды, создаются технические возможности беспрепятственного передвижения маломобильных групп населения по территории поселения.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малым архитектурным формам (МАФ) относятся: элементы монументально - 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 игровое, спортивное, осветительное оборудование, средства наружной рекламы и информации.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малые архитектурные формы должны проектироваться на основании индивидуальных проектных разработок. Малые архитектурные формы должны иметь конструктивное решение, гарантирующее их устойчивость, надежность и безопасность граждан. Малые архитектурные формы, устанавливаемые с нарушением требований, подлежат демонтажу.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Установка скамей должна предусматриваться, как правило, на твердые виды покрытия или фундамент. В зонах отдыха, детских площадках </w:t>
      </w:r>
      <w:r>
        <w:rPr>
          <w:rFonts w:ascii="Times New Roman" w:hAnsi="Times New Roman" w:cs="Times New Roman"/>
          <w:sz w:val="28"/>
          <w:szCs w:val="28"/>
        </w:rPr>
        <w:lastRenderedPageBreak/>
        <w:t xml:space="preserve">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420- 480 мм. Поверхности скамьи для отдыха рекомендуется выполнять из дерева, с различными видами водоустойчивой обработки (предпочтительно - пропиткой).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требованиями при выборе коммунально-бытового оборудования - контейнеров и урн, являются: экологичность, безопасность (отсутствие острых углов), удобство в пользовании, легкость очистки, привлекательный внешний вид. На территории объектов рекреации расстановку малых контейнеров и урн следует предусматривать у скамей.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Малые архитектурные формы являются составной частью озеленения и благоустройства территории городского поселения город Калач.</w:t>
      </w: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Они служат для облагораживания территории городских Парка, скверов и других мест для отдыха горожан, а также установлены во дворах многоквартирных жилых домов. </w:t>
      </w: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Современное благоустройство города – это парки, скверы, пляжи.</w:t>
      </w: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Пожалуй, сложно будет представить их без уличных скамеек, детских и спортивных площадок, урн, фонарей. Все эти МАФ ежедневно сопровождают нашу жизнь. </w:t>
      </w:r>
      <w:r>
        <w:rPr>
          <w:rFonts w:ascii="Times New Roman" w:hAnsi="Times New Roman" w:cs="Times New Roman"/>
          <w:sz w:val="28"/>
          <w:szCs w:val="28"/>
          <w:shd w:val="clear" w:color="auto" w:fill="FFFFFF"/>
        </w:rPr>
        <w:t>Они необходимы для того, чтобы создать функциональное и комфортное окружение и придать ей эстетический вид. </w:t>
      </w: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каждом парке, сквере и других местах отдыха населения городского поселения город Калач установлено достаточное количество скамеек и урн, фонарей, а также оборудованы детские площадки для полноценных прогулок с детьми.</w:t>
      </w: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территории парков и скверов городского поселения город Калач  расположены 106 скамеек и 85 урн. Кроме того МАФы размещены на центральных улицах города, у торговых точек, социальных объектов, на территориях учреждений, организаций.</w:t>
      </w:r>
    </w:p>
    <w:p>
      <w:bookmarkStart w:id="0" w:name="_GoBack"/>
      <w:bookmarkEnd w:id="0"/>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Company>SPecialiST RePack</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2019-02-11T13:12:00Z</dcterms:created>
  <dcterms:modified xsi:type="dcterms:W3CDTF">2019-02-11T13:12:00Z</dcterms:modified>
</cp:coreProperties>
</file>