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570"/>
      </w:tblGrid>
      <w:tr>
        <w:tc>
          <w:tcPr>
            <w:tcW w:w="9759" w:type="dxa"/>
          </w:tcPr>
          <w:p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ind w:left="-851" w:right="-568" w:firstLine="1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ГОРОДСКОГО ПОСЕЛЕНИЯ ГОРОД КАЛАЧ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КАЛАЧЕЕВСКОГО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ВОРОНЕЖСКОЙ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>РАСПОРЯЖЕНИЕ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16 » октября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2017 г.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№ 224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Калач </w:t>
            </w:r>
          </w:p>
        </w:tc>
      </w:tr>
    </w:tbl>
    <w:p>
      <w:pPr>
        <w:tabs>
          <w:tab w:val="right" w:pos="10206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-107950</wp:posOffset>
            </wp:positionV>
            <wp:extent cx="489585" cy="532765"/>
            <wp:effectExtent l="0" t="0" r="5715" b="635"/>
            <wp:wrapTight wrapText="bothSides">
              <wp:wrapPolygon edited="0">
                <wp:start x="0" y="0"/>
                <wp:lineTo x="0" y="20853"/>
                <wp:lineTo x="21012" y="20853"/>
                <wp:lineTo x="21012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tabs>
          <w:tab w:val="right" w:pos="10206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 утверждении</w:t>
      </w:r>
      <w:r>
        <w:rPr>
          <w:rFonts w:ascii="Times New Roman" w:hAnsi="Times New Roman" w:cs="Times New Roman"/>
          <w:b/>
          <w:sz w:val="27"/>
          <w:szCs w:val="27"/>
        </w:rPr>
        <w:t xml:space="preserve"> технологической схемы предоставления муниципальной услуги «Предоставление порубочного билета и (или) разрешения на пересадку деревьев и кустарников» </w:t>
      </w:r>
    </w:p>
    <w:p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поселения город Калач Калачеевского муниципального района Воронежской области, в целях обеспечения межведомственного взаимодействия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АУ « МФЦ»:</w:t>
      </w:r>
    </w:p>
    <w:p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Утвердить технологическую схему предоставления муниципальной услуги «Предоставление порубочного билета и (или) разрешения на пересадку деревьев и кустарников» согласно приложению.</w:t>
      </w:r>
    </w:p>
    <w:p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технологическую схему предоставления муниципальной услуги «Предоставление порубочного билета и (или) разрешения на пересадку деревьев и кустарников» в сети Интернет на 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3"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исполнения настоящего распоряжения оставляю за собой.</w:t>
      </w:r>
    </w:p>
    <w:p>
      <w:pPr>
        <w:pStyle w:val="a3"/>
        <w:tabs>
          <w:tab w:val="right" w:pos="9900"/>
        </w:tabs>
        <w:ind w:left="568"/>
        <w:rPr>
          <w:sz w:val="27"/>
          <w:szCs w:val="27"/>
        </w:rPr>
      </w:pPr>
    </w:p>
    <w:p>
      <w:pPr>
        <w:pStyle w:val="a3"/>
        <w:tabs>
          <w:tab w:val="right" w:pos="9900"/>
        </w:tabs>
        <w:ind w:left="568"/>
        <w:rPr>
          <w:sz w:val="27"/>
          <w:szCs w:val="27"/>
        </w:rPr>
      </w:pPr>
    </w:p>
    <w:p>
      <w:pPr>
        <w:pStyle w:val="a3"/>
        <w:tabs>
          <w:tab w:val="right" w:pos="9900"/>
        </w:tabs>
        <w:ind w:left="568"/>
        <w:rPr>
          <w:sz w:val="27"/>
          <w:szCs w:val="27"/>
        </w:rPr>
      </w:pPr>
    </w:p>
    <w:p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Глава администрации</w:t>
      </w:r>
    </w:p>
    <w:p>
      <w:pPr>
        <w:tabs>
          <w:tab w:val="right" w:pos="1020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городского поселения город Калач                                   Т.В. Мирошник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ова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br w:type="page"/>
      </w:r>
    </w:p>
    <w:p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распоряжению администрации городского поселения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город Калач Калачеевского муниципального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 Воронежской области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   16.10.2017  г. № 224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Технологическая схема 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«Предоставление порубочного билета и (или) разрешения на пересадку деревьев и кустарников»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1 «Общие сведения о муниципальной услуге»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410"/>
        <w:gridCol w:w="12380"/>
        <w:gridCol w:w="142"/>
      </w:tblGrid>
      <w:tr>
        <w:trPr>
          <w:gridAfter w:val="1"/>
          <w:wAfter w:w="14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1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параметра/состояние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городского поселения город Калач Калачеевского муниципального района Воронежской области.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МФЦ – в части приема и (или) выдачи документов на предоставление муниципальной услуги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услуги в федеральном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реестре</w:t>
            </w:r>
            <w:proofErr w:type="gramEnd"/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3640100010001248937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 постановлением администрации городского поселения город калач Калачеевского муниципального района Воронежской области  от 30.05.2016 г. № 220 «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 муниципальной  услуги «Предоставление порубочного билета и (или) разрешения на пересадку деревьев и кустарников»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Выдача порубочного билета.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Выдача разрешения на пересадку деревьев и кустарников.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терминальные устройства в МФЦ;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единый портал государственных услуг;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417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Основания отказа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Основания отказа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>
        <w:trPr>
          <w:trHeight w:hRule="exact" w:val="382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hRule="exact" w:val="2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67"/>
        <w:tblW w:w="51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187"/>
        <w:gridCol w:w="1274"/>
        <w:gridCol w:w="807"/>
        <w:gridCol w:w="1744"/>
        <w:gridCol w:w="3761"/>
        <w:gridCol w:w="837"/>
        <w:gridCol w:w="681"/>
        <w:gridCol w:w="681"/>
        <w:gridCol w:w="675"/>
        <w:gridCol w:w="536"/>
        <w:gridCol w:w="1193"/>
        <w:gridCol w:w="1304"/>
      </w:tblGrid>
      <w:tr>
        <w:trPr>
          <w:cantSplit/>
          <w:trHeight w:hRule="exact" w:val="426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порубочного билета и (или) разрешения на пересадку деревьев и кустарников. </w:t>
            </w:r>
          </w:p>
          <w:p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превышать 30 дней со дня поступления заявления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должен превышать 30 дней со дня поступления заявления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>
            <w:pPr>
              <w:spacing w:after="100" w:afterAutospacing="1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-подача заявления лицом, не уполномоченным совершать такого рода действия.</w:t>
            </w:r>
          </w:p>
          <w:p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 документов или сведений в них содержащихся фактическим обстоятельствам;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-возможность сохранения или пересадки насаждений, выявленная при их обследовании;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-несоответствие обрезки, пересадки сезонности работ, видовым биологическим особенностям насаждений;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-заявление затрагивает вопросы, которые не входят в компетенцию  органа местного самоуправления;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-не подтверждение платежа.</w:t>
            </w:r>
          </w:p>
          <w:p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лично; 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3 «СВЕДЕНИЯ О ЗАЯВИТЕЛЯХ «ПОДУСЛУГИ»</w:t>
      </w:r>
    </w:p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20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-Быть действительным на момент подачи заявления;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  <w:tr>
        <w:trPr>
          <w:trHeight w:hRule="exact" w:val="21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Быть действительным на момент подачи заявления;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4"/>
      <w:r>
        <w:rPr>
          <w:rFonts w:ascii="Times New Roman" w:hAnsi="Times New Roman" w:cs="Times New Roman"/>
          <w:sz w:val="20"/>
          <w:szCs w:val="20"/>
        </w:rPr>
        <w:t>РАЗДЕЛ 4 «ДОКУМЕНТЫ, ПРЕДОСТАВЛЯЕМЫЕ ЗАЯВИТЕЛЕМ ДЛЯ ПОЛУЧЕНИЯ «ПОДУСЛУГИ»</w:t>
      </w:r>
      <w:bookmarkEnd w:id="0"/>
    </w:p>
    <w:p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432"/>
        <w:gridCol w:w="3567"/>
        <w:gridCol w:w="2255"/>
        <w:gridCol w:w="1973"/>
        <w:gridCol w:w="5271"/>
      </w:tblGrid>
      <w:tr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форме указанной в приложении.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указанные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подтверждаются подписью лица подавшего заявление, с указанием даты подачи заявления.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hRule="exact" w:val="11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1.Доверенность.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>
        <w:trPr>
          <w:trHeight w:hRule="exact" w:val="71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Экз. Копия заверенная в </w:t>
            </w:r>
          </w:p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69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кз. Копия 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1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исходный земельный участок.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права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кз. Копия заверенная в 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реализации проектов строительства, реконструкции 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13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 аварийной ситуации на объектах инженерного обеспечения.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 об аварийной ситуации на объектах инженерного обеспечения.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аварийных ситуаций и ликвидации их последствий, требующих безотлагательного проведения ремонтных работ,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комиссией в составе представителей заказчика и уполномоченных организаций в пределах компетенции.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>
        <w:trPr>
          <w:trHeight w:hRule="exact" w:val="2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обеспечения нормативного светового режима в жилых и нежилых помещениях, затененных зелеными насаждениями.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hRule="exact" w:val="18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благоустройства и озеленения, согласованный в 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благоустройства и озеленения, согласованный в установленном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Экз. Подлинник или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заверенная в </w:t>
            </w:r>
          </w:p>
          <w:p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 пересадки зеленых насаждений и выполнения требований по компенсационному озеленению.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bookmark6"/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5 «ДОКУМЕНТЫ И СВЕДЕНИЯ,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ПОЛУЧАЕМЫЕ ПОСРЕДСТВОМ МЕЖВЕДОМСТВЕННОГО ИНФОРМАЦИОННОГО ВЗАИМОДЕЙСТВИЯ»</w:t>
      </w:r>
      <w:bookmarkEnd w:id="1"/>
      <w:proofErr w:type="gramEnd"/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80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запрашиваемого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и состав сведений, запрашиваемых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(организации),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SID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>
          <w:trHeight w:hRule="exact" w:val="336"/>
        </w:trPr>
        <w:tc>
          <w:tcPr>
            <w:tcW w:w="151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6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bookmark7"/>
    </w:p>
    <w:p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РАЗДЕЛ 6 «РЕЗУЛЬТАТ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«ПОДУСЛУГИ»</w:t>
      </w:r>
      <w:bookmarkEnd w:id="2"/>
    </w:p>
    <w:p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>
        <w:trPr>
          <w:cantSplit/>
          <w:trHeight w:val="2498"/>
        </w:trPr>
        <w:tc>
          <w:tcPr>
            <w:tcW w:w="648" w:type="dxa"/>
            <w:vAlign w:val="center"/>
          </w:tcPr>
          <w:p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Документ/документы,</w:t>
            </w:r>
          </w:p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Merge w:val="restart"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vMerge w:val="restart"/>
            <w:textDirection w:val="btLr"/>
            <w:vAlign w:val="center"/>
          </w:tcPr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Образец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результатом</w:t>
            </w:r>
          </w:p>
          <w:p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a8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a8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>
        <w:tc>
          <w:tcPr>
            <w:tcW w:w="648" w:type="dxa"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>
            <w:pPr>
              <w:pStyle w:val="a8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a8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Style w:val="aa"/>
                <w:color w:val="000000"/>
                <w:sz w:val="20"/>
                <w:szCs w:val="20"/>
              </w:rPr>
              <w:t>органе</w:t>
            </w:r>
            <w:proofErr w:type="gramEnd"/>
          </w:p>
        </w:tc>
        <w:tc>
          <w:tcPr>
            <w:tcW w:w="1080" w:type="dxa"/>
            <w:vAlign w:val="center"/>
          </w:tcPr>
          <w:p>
            <w:pPr>
              <w:pStyle w:val="a8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в</w:t>
            </w:r>
          </w:p>
          <w:p>
            <w:pPr>
              <w:pStyle w:val="a8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МФЦ</w:t>
            </w:r>
          </w:p>
        </w:tc>
      </w:tr>
      <w:tr>
        <w:trPr>
          <w:trHeight w:hRule="exact" w:val="426"/>
        </w:trPr>
        <w:tc>
          <w:tcPr>
            <w:tcW w:w="64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>
        <w:trPr>
          <w:trHeight w:hRule="exact" w:val="352"/>
        </w:trPr>
        <w:tc>
          <w:tcPr>
            <w:tcW w:w="1540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1132"/>
        </w:trPr>
        <w:tc>
          <w:tcPr>
            <w:tcW w:w="648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</w:t>
            </w:r>
          </w:p>
          <w:p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главой, регистрируется 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  <w:tr>
        <w:trPr>
          <w:trHeight w:hRule="exact" w:val="1276"/>
        </w:trPr>
        <w:tc>
          <w:tcPr>
            <w:tcW w:w="648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Мотивированный отказ в </w:t>
            </w:r>
            <w:proofErr w:type="gramStart"/>
            <w:r>
              <w:rPr>
                <w:sz w:val="20"/>
                <w:szCs w:val="20"/>
              </w:rPr>
              <w:t>предоставлении</w:t>
            </w:r>
            <w:proofErr w:type="gramEnd"/>
            <w:r>
              <w:rPr>
                <w:sz w:val="20"/>
                <w:szCs w:val="20"/>
              </w:rPr>
              <w:t xml:space="preserve"> муниципальной услуги.</w:t>
            </w:r>
          </w:p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главой, регистрируется 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Отрицате-льный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 почте;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полномочного представителя;</w:t>
            </w:r>
          </w:p>
          <w:p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через МФЦ;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 лет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7 «ТЕХНОЛОГИЧЕСКИЕ ПРОЦЕССЫ ПРЕДОСТАВЛЕНИЯ «ПОДУСЛУГИ»</w:t>
      </w: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№</w:t>
            </w:r>
          </w:p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aa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Сроки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исполнения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процедуры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Исполнитель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процедуры</w:t>
            </w:r>
          </w:p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hRule="exact" w:val="3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Проверка документа, удостоверяющего личность заявителя;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сверка данных представленных документов с данными, указанными в заявлении;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сличение копий с подлинниками документа,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заверение копии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регистрация поданного заявления;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подготовка и выдача расписки о приеме заявления с документами;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информирование заявителя о сроках предоставления муниципальной услуги;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передача заявления с документами в администрацию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Заброденского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Калачеевского муниципального района Воронежской области (при обращении заявителя в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hRule="exact" w:val="15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Рассмотрение представленных документов, истребование документов (сведений)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межведомственного взаимодействия.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>
            <w:pPr>
              <w:pStyle w:val="a8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предоставлении или отказе в предоставлении муниципальной услуги.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hRule="exact" w:val="18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a8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8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8 «ОСОБЕННОСТИ ПРЕДОСТАВЛЕНИЯ «ПОДУСЛУГИ</w:t>
      </w:r>
      <w:proofErr w:type="gramStart"/>
      <w:r>
        <w:rPr>
          <w:rFonts w:ascii="Times New Roman" w:hAnsi="Times New Roman" w:cs="Times New Roman"/>
          <w:sz w:val="20"/>
          <w:szCs w:val="20"/>
        </w:rPr>
        <w:t>»В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ЭЛЕКТРОННОЙ ФОРМЕ»</w:t>
      </w:r>
    </w:p>
    <w:tbl>
      <w:tblPr>
        <w:tblW w:w="15142" w:type="dxa"/>
        <w:jc w:val="center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40"/>
        <w:gridCol w:w="5220"/>
        <w:gridCol w:w="1800"/>
        <w:gridCol w:w="2160"/>
        <w:gridCol w:w="2756"/>
      </w:tblGrid>
      <w:tr>
        <w:trPr>
          <w:trHeight w:hRule="exact" w:val="2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 xml:space="preserve">" и досудебного (внесудебного) обжалования решений и действий (бездействия) органа в </w:t>
            </w:r>
            <w:proofErr w:type="gramStart"/>
            <w:r>
              <w:rPr>
                <w:rStyle w:val="111"/>
                <w:color w:val="000000"/>
                <w:sz w:val="20"/>
                <w:szCs w:val="20"/>
              </w:rPr>
              <w:t>процессе</w:t>
            </w:r>
            <w:proofErr w:type="gramEnd"/>
            <w:r>
              <w:rPr>
                <w:rStyle w:val="111"/>
                <w:color w:val="000000"/>
                <w:sz w:val="20"/>
                <w:szCs w:val="20"/>
              </w:rPr>
              <w:t xml:space="preserve"> получения "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>"</w:t>
            </w:r>
          </w:p>
        </w:tc>
      </w:tr>
      <w:tr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hRule="exact" w:val="298"/>
          <w:jc w:val="center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1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Style w:val="111"/>
                <w:color w:val="000000"/>
                <w:sz w:val="20"/>
                <w:szCs w:val="20"/>
              </w:rPr>
              <w:t>Подуслуга</w:t>
            </w:r>
            <w:proofErr w:type="spellEnd"/>
            <w:r>
              <w:rPr>
                <w:rStyle w:val="111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hRule="exact" w:val="304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right="163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в сети Интернет </w:t>
            </w:r>
          </w:p>
          <w:p>
            <w:pPr>
              <w:pStyle w:val="a8"/>
              <w:spacing w:after="0"/>
              <w:ind w:left="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администрации в сети Интернет 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a8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в сети Интернет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8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администрации в сети Интернет</w:t>
            </w:r>
          </w:p>
          <w:p>
            <w:pPr>
              <w:pStyle w:val="a8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>
      <w:pPr>
        <w:rPr>
          <w:rFonts w:ascii="Times New Roman" w:hAnsi="Times New Roman" w:cs="Times New Roman"/>
          <w:sz w:val="20"/>
          <w:szCs w:val="20"/>
          <w:highlight w:val="yellow"/>
        </w:rPr>
        <w:sectPr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lastRenderedPageBreak/>
        <w:t xml:space="preserve">Приложение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к технологической схеме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 город Калач Калачеевского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физических лиц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индивидуальных предпринимателей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 удостоверяющий личность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(серия, №, 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когда выдан)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(ей) по адресу: 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 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юридических лиц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(наименование, адрес, ОГРН, ИНН)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(контактный телефон)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выдать  порубочный билет  и (или) разрешение на пересадку деревьев и кустарников    (с   указанием   количества,  породного  состава   и причины рубки, обрезки, пересадки, изъятия), расположенных по адресу: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(местоположение) участка на котором планируется рубка).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зачеркнуть):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адрес электронной почты)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прилагаемых документов: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"____" __________ 20___ г.                       _________/_______________/</w:t>
      </w:r>
      <w:bookmarkStart w:id="3" w:name="_GoBack"/>
      <w:bookmarkEnd w:id="3"/>
    </w:p>
    <w:sectPr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Pr>
      <w:rFonts w:ascii="Courier New" w:eastAsia="Calibri" w:hAnsi="Courier New" w:cs="Times New Roman"/>
      <w:sz w:val="24"/>
      <w:szCs w:val="24"/>
    </w:rPr>
  </w:style>
  <w:style w:type="character" w:customStyle="1" w:styleId="aa">
    <w:name w:val="Основной текст + Полужирный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4Exact1">
    <w:name w:val="Основной текст (4) Exact1"/>
    <w:rPr>
      <w:rFonts w:ascii="Franklin Gothic Book" w:hAnsi="Franklin Gothic Book" w:cs="Franklin Gothic Book"/>
      <w:spacing w:val="-4"/>
      <w:sz w:val="12"/>
      <w:szCs w:val="12"/>
      <w:u w:val="none"/>
    </w:rPr>
  </w:style>
  <w:style w:type="character" w:customStyle="1" w:styleId="111">
    <w:name w:val="Основной текст + 111"/>
    <w:aliases w:val="5 pt1,Полужирный1"/>
    <w:rPr>
      <w:rFonts w:ascii="Times New Roman" w:hAnsi="Times New Roman" w:cs="Times New Roman"/>
      <w:b/>
      <w:bCs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Pr>
      <w:rFonts w:ascii="Courier New" w:eastAsia="Calibri" w:hAnsi="Courier New" w:cs="Times New Roman"/>
      <w:sz w:val="24"/>
      <w:szCs w:val="24"/>
    </w:rPr>
  </w:style>
  <w:style w:type="character" w:customStyle="1" w:styleId="aa">
    <w:name w:val="Основной текст + Полужирный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4Exact1">
    <w:name w:val="Основной текст (4) Exact1"/>
    <w:rPr>
      <w:rFonts w:ascii="Franklin Gothic Book" w:hAnsi="Franklin Gothic Book" w:cs="Franklin Gothic Book"/>
      <w:spacing w:val="-4"/>
      <w:sz w:val="12"/>
      <w:szCs w:val="12"/>
      <w:u w:val="none"/>
    </w:rPr>
  </w:style>
  <w:style w:type="character" w:customStyle="1" w:styleId="111">
    <w:name w:val="Основной текст + 111"/>
    <w:aliases w:val="5 pt1,Полужирный1"/>
    <w:rPr>
      <w:rFonts w:ascii="Times New Roman" w:hAnsi="Times New Roman" w:cs="Times New Roman"/>
      <w:b/>
      <w:bCs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2331</Words>
  <Characters>13287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2018-10-01T12:34:00Z</dcterms:created>
  <dcterms:modified xsi:type="dcterms:W3CDTF">2018-10-01T12:37:00Z</dcterms:modified>
</cp:coreProperties>
</file>