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0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</w:p>
    <w:p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42290" cy="6705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a3"/>
        <w:jc w:val="center"/>
      </w:pPr>
    </w:p>
    <w:p>
      <w:pPr>
        <w:pStyle w:val="a3"/>
        <w:jc w:val="center"/>
        <w:rPr>
          <w:b/>
          <w:bCs/>
        </w:rPr>
      </w:pPr>
      <w:r>
        <w:rPr>
          <w:b/>
          <w:bCs/>
        </w:rPr>
        <w:t>СОВЕТ НАРОДНЫХ ДЕПУТАТОВ</w:t>
      </w:r>
    </w:p>
    <w:p>
      <w:pPr>
        <w:pStyle w:val="a3"/>
        <w:jc w:val="center"/>
        <w:rPr>
          <w:b/>
          <w:bCs/>
        </w:rPr>
      </w:pPr>
      <w:r>
        <w:rPr>
          <w:b/>
          <w:bCs/>
        </w:rPr>
        <w:t>ГОРОДСКОГО ПОСЕЛЕНИЯ ГОРОД КАЛАЧ</w:t>
      </w:r>
    </w:p>
    <w:p>
      <w:pPr>
        <w:pStyle w:val="a3"/>
        <w:jc w:val="center"/>
        <w:rPr>
          <w:b/>
          <w:bCs/>
        </w:rPr>
      </w:pPr>
      <w:r>
        <w:rPr>
          <w:b/>
          <w:bCs/>
        </w:rPr>
        <w:t>КАЛАЧЕЕВСКОГО МУНИЦИПАЛЬНОГО РАЙОНА</w:t>
      </w:r>
    </w:p>
    <w:p>
      <w:pPr>
        <w:pStyle w:val="a3"/>
        <w:jc w:val="center"/>
        <w:rPr>
          <w:b/>
          <w:bCs/>
        </w:rPr>
      </w:pPr>
      <w:r>
        <w:rPr>
          <w:b/>
          <w:bCs/>
        </w:rPr>
        <w:t>ВОРОНЕЖСКОЙ ОБЛАСТИ</w:t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06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 апреля 2017 года                                                                                       № 254</w:t>
      </w:r>
    </w:p>
    <w:p>
      <w:pPr>
        <w:ind w:firstLine="0"/>
        <w:rPr>
          <w:rFonts w:ascii="Times New Roman" w:hAnsi="Times New Roman" w:cs="Times New Roman"/>
          <w:sz w:val="24"/>
          <w:szCs w:val="24"/>
        </w:rPr>
      </w:pPr>
    </w:p>
    <w:p>
      <w:pPr>
        <w:pStyle w:val="ConsPlusTitle"/>
        <w:widowControl/>
        <w:ind w:right="39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проекте решения Совета народных депутатов городского поселения город Калач «О внесении изменений в Устав городского поселения город Калач Калачеевского муниципального района Воронежской области»</w:t>
      </w:r>
    </w:p>
    <w:p>
      <w:pPr>
        <w:ind w:firstLine="0"/>
        <w:rPr>
          <w:rFonts w:ascii="Times New Roman" w:hAnsi="Times New Roman" w:cs="Times New Roman"/>
          <w:sz w:val="24"/>
          <w:szCs w:val="24"/>
        </w:rPr>
      </w:pPr>
    </w:p>
    <w:p>
      <w:pPr>
        <w:ind w:firstLine="0"/>
        <w:rPr>
          <w:rFonts w:ascii="Times New Roman" w:hAnsi="Times New Roman" w:cs="Times New Roman"/>
          <w:sz w:val="24"/>
          <w:szCs w:val="24"/>
        </w:rPr>
      </w:pPr>
    </w:p>
    <w:p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приведения Устава городского поселения город Калач Калачеевского муниципального района Воронежской области в соответствие с Федеральным законом от 06.10.2003 г. № 131-ФЗ «Об общих принципах организации местного самоуправления в Российской Федерации», руководствуясь Федеральным законом от 21.07.2005 г. № 97-ФЗ «О государственной регистрации  уставов муниципальных образований», Совет народных депутатов городского поселения город Калач Калачеевского муниципального района Воронежской области</w:t>
      </w:r>
    </w:p>
    <w:p>
      <w:pPr>
        <w:pStyle w:val="a5"/>
        <w:tabs>
          <w:tab w:val="left" w:pos="1276"/>
        </w:tabs>
        <w:autoSpaceDE w:val="0"/>
        <w:ind w:left="0"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 Е Ш И Л:</w:t>
      </w:r>
    </w:p>
    <w:p>
      <w:pPr>
        <w:pStyle w:val="a5"/>
        <w:tabs>
          <w:tab w:val="left" w:pos="1276"/>
        </w:tabs>
        <w:autoSpaceDE w:val="0"/>
        <w:ind w:left="0" w:firstLine="851"/>
        <w:jc w:val="center"/>
        <w:rPr>
          <w:b/>
          <w:sz w:val="24"/>
          <w:szCs w:val="24"/>
        </w:rPr>
      </w:pPr>
    </w:p>
    <w:p>
      <w:pPr>
        <w:pStyle w:val="a5"/>
        <w:numPr>
          <w:ilvl w:val="0"/>
          <w:numId w:val="1"/>
        </w:numPr>
        <w:tabs>
          <w:tab w:val="left" w:pos="1276"/>
        </w:tabs>
        <w:autoSpaceDE w:val="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Утвердить проект решения Совета народных депутатов городского поселения город Калач «О внесении изменений в Устав городского поселения город Калач» согласно приложения №1.</w:t>
      </w:r>
    </w:p>
    <w:p>
      <w:pPr>
        <w:pStyle w:val="a5"/>
        <w:numPr>
          <w:ilvl w:val="0"/>
          <w:numId w:val="1"/>
        </w:numPr>
        <w:tabs>
          <w:tab w:val="left" w:pos="1276"/>
        </w:tabs>
        <w:autoSpaceDE w:val="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Утвердить порядок учета предложений по проекту муниципального правового акта о внесении изменений и дополнений в Устав муниципального образования городское поселение город Калач Калачеевского муниципального района Воронежской области и участия граждан в его обсуждении согласно приложения № 2.</w:t>
      </w:r>
    </w:p>
    <w:p>
      <w:pPr>
        <w:pStyle w:val="a5"/>
        <w:numPr>
          <w:ilvl w:val="0"/>
          <w:numId w:val="1"/>
        </w:numPr>
        <w:tabs>
          <w:tab w:val="left" w:pos="1276"/>
        </w:tabs>
        <w:autoSpaceDE w:val="0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Опубликовать настоящее решение в официальном периодическом издании «Вестник муниципальных правовых актов городского поселения город Калач Калачеевского муниципального района Воронежской области», а также разместить на официальном сайте администрации городского поселения город Калач в сети Интернет.</w:t>
      </w:r>
    </w:p>
    <w:p>
      <w:pPr>
        <w:tabs>
          <w:tab w:val="left" w:pos="9360"/>
        </w:tabs>
        <w:ind w:right="-5" w:firstLine="0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9360"/>
        </w:tabs>
        <w:ind w:right="-5" w:firstLine="0"/>
        <w:rPr>
          <w:rFonts w:ascii="Times New Roman" w:hAnsi="Times New Roman" w:cs="Times New Roman"/>
          <w:sz w:val="24"/>
          <w:szCs w:val="24"/>
        </w:rPr>
      </w:pPr>
    </w:p>
    <w:p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городского поселения город Калач </w:t>
      </w:r>
    </w:p>
    <w:p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Калачеевского муниципального района </w:t>
      </w:r>
    </w:p>
    <w:p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Воронежской области                                                                   А.А. Трощенко</w:t>
      </w:r>
    </w:p>
    <w:p>
      <w:pPr>
        <w:ind w:left="5670" w:firstLine="0"/>
        <w:jc w:val="right"/>
        <w:rPr>
          <w:noProof/>
          <w:sz w:val="18"/>
          <w:szCs w:val="18"/>
        </w:rPr>
      </w:pPr>
    </w:p>
    <w:p>
      <w:pPr>
        <w:ind w:firstLine="0"/>
        <w:rPr>
          <w:rFonts w:ascii="Times New Roman" w:hAnsi="Times New Roman" w:cs="Times New Roman"/>
          <w:noProof/>
          <w:sz w:val="24"/>
          <w:szCs w:val="24"/>
        </w:rPr>
      </w:pPr>
    </w:p>
    <w:p>
      <w:pPr>
        <w:ind w:left="5670" w:firstLine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>
      <w:pPr>
        <w:ind w:left="5670" w:firstLine="0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Приложение №1 к решению Совета народных депутатов городского поселения город Калач Калачеевского муниципального района Воронежской области от «____» _________ 2017 года №___</w:t>
      </w:r>
    </w:p>
    <w:p>
      <w:pPr>
        <w:ind w:left="5670" w:firstLine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>
      <w:pPr>
        <w:ind w:left="5670" w:firstLine="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2290" cy="670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autoSpaceDE/>
        <w:autoSpaceDN/>
        <w:adjustRightInd/>
        <w:snapToGrid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autoSpaceDE/>
        <w:autoSpaceDN/>
        <w:adjustRightInd/>
        <w:snapToGri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СОВЕТ НАРОДНЫХ ДЕПУТАТОВ</w:t>
      </w:r>
    </w:p>
    <w:p>
      <w:pPr>
        <w:autoSpaceDE/>
        <w:autoSpaceDN/>
        <w:adjustRightInd/>
        <w:snapToGri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ГОРОДСКОГО ПОСЕЛЕНИЯ ГОРОД КАЛАЧ</w:t>
      </w:r>
    </w:p>
    <w:p>
      <w:pPr>
        <w:autoSpaceDE/>
        <w:autoSpaceDN/>
        <w:adjustRightInd/>
        <w:snapToGri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КАЛАЧЕЕВСКОГО МУНИЦИПАЛЬНОГО РАЙОНА</w:t>
      </w:r>
    </w:p>
    <w:p>
      <w:pPr>
        <w:autoSpaceDE/>
        <w:autoSpaceDN/>
        <w:adjustRightInd/>
        <w:snapToGri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ВОРОНЕЖСКОЙ ОБЛАСТИ</w:t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             2017 года №</w:t>
      </w:r>
    </w:p>
    <w:p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>
      <w:pPr>
        <w:widowControl/>
        <w:ind w:right="3968"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изменений в Устав городского поселения город Калач Калачеевского муниципального района Воронежской области</w:t>
      </w:r>
    </w:p>
    <w:p>
      <w:pPr>
        <w:widowControl/>
        <w:ind w:right="3968"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приведения Устава городского поселения город Калач Калачеевского муниципального района Воронежской области (Далее по тексту - Устава) в соответствие с Федеральным законом от 06.10.2003 г. № 131-ФЗ «Об общих принципах организации местного самоуправления в Российской Федерации», руководствуясь Федеральным законом от 21.07.2005 г. № 97-ФЗ «О государственной регистрации уставов муниципальных образований», Совет народных депутатов городского поселения город Калач Калачеевского муниципального района Воронежской области</w:t>
      </w:r>
    </w:p>
    <w:p>
      <w:pPr>
        <w:widowControl/>
        <w:tabs>
          <w:tab w:val="left" w:pos="1276"/>
        </w:tabs>
        <w:autoSpaceDN/>
        <w:adjustRightInd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 Е Ш И Л:</w:t>
      </w:r>
    </w:p>
    <w:p>
      <w:pPr>
        <w:widowControl/>
        <w:tabs>
          <w:tab w:val="left" w:pos="1276"/>
        </w:tabs>
        <w:autoSpaceDN/>
        <w:adjustRightInd/>
        <w:ind w:firstLine="85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>
      <w:pPr>
        <w:widowControl/>
        <w:tabs>
          <w:tab w:val="left" w:pos="1276"/>
        </w:tabs>
        <w:autoSpaceDN/>
        <w:adjustRightInd/>
        <w:ind w:firstLine="68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Часть 1 статьи  38 Устава изложить в следующей редакции: </w:t>
      </w:r>
    </w:p>
    <w:p>
      <w:pPr>
        <w:widowControl/>
        <w:tabs>
          <w:tab w:val="left" w:pos="1276"/>
        </w:tabs>
        <w:autoSpaceDN/>
        <w:adjustRightInd/>
        <w:ind w:firstLine="68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«1. Органом местного самоуправления, уполномоченным на осуществление муниципального контроля на территории городского поселения, является администрация городского поселения.</w:t>
      </w:r>
    </w:p>
    <w:p>
      <w:pPr>
        <w:widowControl/>
        <w:tabs>
          <w:tab w:val="left" w:pos="1276"/>
        </w:tabs>
        <w:autoSpaceDN/>
        <w:adjustRightInd/>
        <w:ind w:firstLine="68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Должностными лицами администрации городского поселения, уполномоченными на осуществление муниципальными контроля, являются глава городского поселения, возглавляющий администрацию городского поселения, его заместитель, начальники соответствующих секторов (отделов) администрации городского поселения, главные, ведущие специалисты и специалисты этих секторов администрации городского поселения. </w:t>
      </w:r>
    </w:p>
    <w:p>
      <w:pPr>
        <w:widowControl/>
        <w:tabs>
          <w:tab w:val="left" w:pos="1276"/>
        </w:tabs>
        <w:autoSpaceDN/>
        <w:adjustRightInd/>
        <w:ind w:firstLine="68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Перечень полномочий указанных должностных лиц определяется в соответствии с муниципальными правовыми актами городского поселения.».</w:t>
      </w:r>
    </w:p>
    <w:p>
      <w:pPr>
        <w:widowControl/>
        <w:tabs>
          <w:tab w:val="left" w:pos="1276"/>
        </w:tabs>
        <w:autoSpaceDN/>
        <w:adjustRightInd/>
        <w:ind w:firstLine="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Представить настоящее решение в Управление Министерства юстиции  Российской Федерации по Воронежской области для государственной регистрации.</w:t>
      </w:r>
    </w:p>
    <w:p>
      <w:pPr>
        <w:widowControl/>
        <w:tabs>
          <w:tab w:val="left" w:pos="1276"/>
        </w:tabs>
        <w:autoSpaceDN/>
        <w:adjustRightInd/>
        <w:ind w:firstLine="6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Настоящее решение подлежит официальному опубликованию после его государственной регистрации  в Управлении Министерства юстиции Российской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Федерации по Воронежской области и вступает в силу после его официального опубликования.</w:t>
      </w:r>
    </w:p>
    <w:p>
      <w:pPr>
        <w:tabs>
          <w:tab w:val="left" w:pos="9360"/>
        </w:tabs>
        <w:ind w:firstLine="680"/>
        <w:rPr>
          <w:rFonts w:ascii="Times New Roman" w:hAnsi="Times New Roman" w:cs="Times New Roman"/>
          <w:sz w:val="24"/>
          <w:szCs w:val="24"/>
        </w:rPr>
      </w:pPr>
    </w:p>
    <w:p>
      <w:pPr>
        <w:tabs>
          <w:tab w:val="left" w:pos="9360"/>
        </w:tabs>
        <w:ind w:firstLine="680"/>
        <w:rPr>
          <w:rFonts w:ascii="Times New Roman" w:hAnsi="Times New Roman" w:cs="Times New Roman"/>
          <w:sz w:val="24"/>
          <w:szCs w:val="24"/>
        </w:rPr>
      </w:pPr>
    </w:p>
    <w:p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городского поселения город Калач</w:t>
      </w:r>
    </w:p>
    <w:p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Калачеевского муниципального района</w:t>
      </w:r>
    </w:p>
    <w:p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Воронежской области                                                                                   А.А. Трощенко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ind w:left="5954"/>
        <w:rPr>
          <w:rFonts w:ascii="Times New Roman" w:hAnsi="Times New Roman" w:cs="Times New Roman"/>
          <w:sz w:val="24"/>
          <w:szCs w:val="24"/>
        </w:rPr>
      </w:pPr>
    </w:p>
    <w:p>
      <w:pPr>
        <w:ind w:left="5954"/>
        <w:rPr>
          <w:rFonts w:ascii="Times New Roman" w:hAnsi="Times New Roman" w:cs="Times New Roman"/>
          <w:sz w:val="24"/>
          <w:szCs w:val="24"/>
        </w:rPr>
      </w:pPr>
    </w:p>
    <w:p>
      <w:pPr>
        <w:ind w:left="5954"/>
        <w:rPr>
          <w:rFonts w:ascii="Times New Roman" w:hAnsi="Times New Roman" w:cs="Times New Roman"/>
          <w:sz w:val="24"/>
          <w:szCs w:val="24"/>
        </w:rPr>
      </w:pPr>
    </w:p>
    <w:p>
      <w:pPr>
        <w:ind w:left="5954"/>
        <w:rPr>
          <w:rFonts w:ascii="Times New Roman" w:hAnsi="Times New Roman" w:cs="Times New Roman"/>
          <w:sz w:val="24"/>
          <w:szCs w:val="24"/>
        </w:rPr>
      </w:pPr>
    </w:p>
    <w:p>
      <w:pPr>
        <w:ind w:left="5954"/>
        <w:rPr>
          <w:rFonts w:ascii="Times New Roman" w:hAnsi="Times New Roman" w:cs="Times New Roman"/>
          <w:sz w:val="24"/>
          <w:szCs w:val="24"/>
        </w:rPr>
      </w:pPr>
    </w:p>
    <w:p>
      <w:pPr>
        <w:ind w:left="5954"/>
        <w:rPr>
          <w:rFonts w:ascii="Times New Roman" w:hAnsi="Times New Roman" w:cs="Times New Roman"/>
          <w:sz w:val="24"/>
          <w:szCs w:val="24"/>
        </w:rPr>
      </w:pPr>
    </w:p>
    <w:p>
      <w:pPr>
        <w:ind w:left="5954"/>
        <w:rPr>
          <w:rFonts w:ascii="Times New Roman" w:hAnsi="Times New Roman" w:cs="Times New Roman"/>
          <w:sz w:val="24"/>
          <w:szCs w:val="24"/>
        </w:rPr>
      </w:pPr>
    </w:p>
    <w:p>
      <w:pPr>
        <w:ind w:left="5954"/>
        <w:rPr>
          <w:rFonts w:ascii="Times New Roman" w:hAnsi="Times New Roman" w:cs="Times New Roman"/>
          <w:sz w:val="24"/>
          <w:szCs w:val="24"/>
        </w:rPr>
      </w:pPr>
    </w:p>
    <w:p>
      <w:pPr>
        <w:ind w:left="5954"/>
        <w:rPr>
          <w:rFonts w:ascii="Times New Roman" w:hAnsi="Times New Roman" w:cs="Times New Roman"/>
          <w:sz w:val="24"/>
          <w:szCs w:val="24"/>
        </w:rPr>
      </w:pPr>
    </w:p>
    <w:p>
      <w:pPr>
        <w:ind w:left="5954"/>
        <w:rPr>
          <w:rFonts w:ascii="Times New Roman" w:hAnsi="Times New Roman" w:cs="Times New Roman"/>
          <w:sz w:val="24"/>
          <w:szCs w:val="24"/>
        </w:rPr>
      </w:pPr>
    </w:p>
    <w:p>
      <w:pPr>
        <w:ind w:left="5954"/>
        <w:rPr>
          <w:rFonts w:ascii="Times New Roman" w:hAnsi="Times New Roman" w:cs="Times New Roman"/>
          <w:sz w:val="24"/>
          <w:szCs w:val="24"/>
        </w:rPr>
      </w:pPr>
    </w:p>
    <w:p>
      <w:pPr>
        <w:ind w:left="5954"/>
        <w:rPr>
          <w:rFonts w:ascii="Times New Roman" w:hAnsi="Times New Roman" w:cs="Times New Roman"/>
          <w:sz w:val="24"/>
          <w:szCs w:val="24"/>
        </w:rPr>
      </w:pPr>
    </w:p>
    <w:p>
      <w:pPr>
        <w:ind w:left="5954"/>
        <w:rPr>
          <w:rFonts w:ascii="Times New Roman" w:hAnsi="Times New Roman" w:cs="Times New Roman"/>
          <w:sz w:val="24"/>
          <w:szCs w:val="24"/>
        </w:rPr>
      </w:pPr>
    </w:p>
    <w:p>
      <w:pPr>
        <w:ind w:left="5954"/>
        <w:rPr>
          <w:rFonts w:ascii="Times New Roman" w:hAnsi="Times New Roman" w:cs="Times New Roman"/>
          <w:sz w:val="24"/>
          <w:szCs w:val="24"/>
        </w:rPr>
      </w:pPr>
    </w:p>
    <w:p>
      <w:pPr>
        <w:ind w:left="5954"/>
        <w:rPr>
          <w:rFonts w:ascii="Times New Roman" w:hAnsi="Times New Roman" w:cs="Times New Roman"/>
          <w:sz w:val="24"/>
          <w:szCs w:val="24"/>
        </w:rPr>
      </w:pPr>
    </w:p>
    <w:p>
      <w:pPr>
        <w:ind w:left="5954"/>
        <w:rPr>
          <w:rFonts w:ascii="Times New Roman" w:hAnsi="Times New Roman" w:cs="Times New Roman"/>
          <w:sz w:val="24"/>
          <w:szCs w:val="24"/>
        </w:rPr>
      </w:pPr>
    </w:p>
    <w:p>
      <w:pPr>
        <w:ind w:left="5954"/>
        <w:rPr>
          <w:rFonts w:ascii="Times New Roman" w:hAnsi="Times New Roman" w:cs="Times New Roman"/>
          <w:sz w:val="24"/>
          <w:szCs w:val="24"/>
        </w:rPr>
      </w:pPr>
    </w:p>
    <w:p>
      <w:pPr>
        <w:ind w:left="5954"/>
        <w:rPr>
          <w:rFonts w:ascii="Times New Roman" w:hAnsi="Times New Roman" w:cs="Times New Roman"/>
          <w:sz w:val="24"/>
          <w:szCs w:val="24"/>
        </w:rPr>
      </w:pPr>
    </w:p>
    <w:p>
      <w:pPr>
        <w:ind w:left="5954"/>
        <w:rPr>
          <w:rFonts w:ascii="Times New Roman" w:hAnsi="Times New Roman" w:cs="Times New Roman"/>
          <w:sz w:val="24"/>
          <w:szCs w:val="24"/>
        </w:rPr>
      </w:pPr>
    </w:p>
    <w:p>
      <w:pPr>
        <w:ind w:left="5954"/>
        <w:rPr>
          <w:rFonts w:ascii="Times New Roman" w:hAnsi="Times New Roman" w:cs="Times New Roman"/>
          <w:sz w:val="24"/>
          <w:szCs w:val="24"/>
        </w:rPr>
      </w:pPr>
    </w:p>
    <w:p>
      <w:pPr>
        <w:ind w:left="5954"/>
        <w:rPr>
          <w:rFonts w:ascii="Times New Roman" w:hAnsi="Times New Roman" w:cs="Times New Roman"/>
          <w:sz w:val="24"/>
          <w:szCs w:val="24"/>
        </w:rPr>
      </w:pPr>
    </w:p>
    <w:p>
      <w:pPr>
        <w:ind w:left="5954"/>
        <w:rPr>
          <w:rFonts w:ascii="Times New Roman" w:hAnsi="Times New Roman" w:cs="Times New Roman"/>
          <w:sz w:val="24"/>
          <w:szCs w:val="24"/>
        </w:rPr>
      </w:pPr>
    </w:p>
    <w:p>
      <w:pPr>
        <w:ind w:left="5954"/>
        <w:rPr>
          <w:rFonts w:ascii="Times New Roman" w:hAnsi="Times New Roman" w:cs="Times New Roman"/>
          <w:sz w:val="24"/>
          <w:szCs w:val="24"/>
        </w:rPr>
      </w:pPr>
    </w:p>
    <w:p>
      <w:pPr>
        <w:ind w:left="5954"/>
        <w:rPr>
          <w:rFonts w:ascii="Times New Roman" w:hAnsi="Times New Roman" w:cs="Times New Roman"/>
          <w:sz w:val="24"/>
          <w:szCs w:val="24"/>
        </w:rPr>
      </w:pPr>
    </w:p>
    <w:p>
      <w:pPr>
        <w:ind w:left="5954"/>
        <w:rPr>
          <w:rFonts w:ascii="Times New Roman" w:hAnsi="Times New Roman" w:cs="Times New Roman"/>
          <w:sz w:val="24"/>
          <w:szCs w:val="24"/>
        </w:rPr>
      </w:pPr>
    </w:p>
    <w:p>
      <w:pPr>
        <w:ind w:left="5954"/>
        <w:rPr>
          <w:rFonts w:ascii="Times New Roman" w:hAnsi="Times New Roman" w:cs="Times New Roman"/>
          <w:sz w:val="24"/>
          <w:szCs w:val="24"/>
        </w:rPr>
      </w:pPr>
    </w:p>
    <w:p>
      <w:pPr>
        <w:ind w:left="5954"/>
        <w:rPr>
          <w:rFonts w:ascii="Times New Roman" w:hAnsi="Times New Roman" w:cs="Times New Roman"/>
          <w:sz w:val="24"/>
          <w:szCs w:val="24"/>
        </w:rPr>
      </w:pPr>
    </w:p>
    <w:p>
      <w:pPr>
        <w:ind w:left="5954"/>
        <w:rPr>
          <w:rFonts w:ascii="Times New Roman" w:hAnsi="Times New Roman" w:cs="Times New Roman"/>
          <w:sz w:val="24"/>
          <w:szCs w:val="24"/>
        </w:rPr>
      </w:pPr>
    </w:p>
    <w:p>
      <w:pPr>
        <w:ind w:left="5954"/>
        <w:rPr>
          <w:rFonts w:ascii="Times New Roman" w:hAnsi="Times New Roman" w:cs="Times New Roman"/>
          <w:sz w:val="24"/>
          <w:szCs w:val="24"/>
        </w:rPr>
      </w:pPr>
    </w:p>
    <w:p>
      <w:pPr>
        <w:ind w:left="5954"/>
        <w:rPr>
          <w:rFonts w:ascii="Times New Roman" w:hAnsi="Times New Roman" w:cs="Times New Roman"/>
          <w:sz w:val="24"/>
          <w:szCs w:val="24"/>
        </w:rPr>
      </w:pPr>
    </w:p>
    <w:p>
      <w:pPr>
        <w:ind w:left="5954"/>
        <w:rPr>
          <w:rFonts w:ascii="Times New Roman" w:hAnsi="Times New Roman" w:cs="Times New Roman"/>
          <w:sz w:val="24"/>
          <w:szCs w:val="24"/>
        </w:rPr>
      </w:pPr>
    </w:p>
    <w:p>
      <w:pPr>
        <w:ind w:left="5954"/>
        <w:rPr>
          <w:rFonts w:ascii="Times New Roman" w:hAnsi="Times New Roman" w:cs="Times New Roman"/>
          <w:sz w:val="24"/>
          <w:szCs w:val="24"/>
        </w:rPr>
      </w:pPr>
    </w:p>
    <w:p>
      <w:pPr>
        <w:ind w:left="5954"/>
        <w:rPr>
          <w:rFonts w:ascii="Times New Roman" w:hAnsi="Times New Roman" w:cs="Times New Roman"/>
          <w:sz w:val="24"/>
          <w:szCs w:val="24"/>
        </w:rPr>
      </w:pPr>
    </w:p>
    <w:p>
      <w:pPr>
        <w:ind w:left="5954"/>
        <w:rPr>
          <w:rFonts w:ascii="Times New Roman" w:hAnsi="Times New Roman" w:cs="Times New Roman"/>
          <w:sz w:val="24"/>
          <w:szCs w:val="24"/>
        </w:rPr>
      </w:pPr>
    </w:p>
    <w:p>
      <w:pPr>
        <w:ind w:left="5954"/>
        <w:rPr>
          <w:rFonts w:ascii="Times New Roman" w:hAnsi="Times New Roman" w:cs="Times New Roman"/>
          <w:sz w:val="24"/>
          <w:szCs w:val="24"/>
        </w:rPr>
      </w:pPr>
    </w:p>
    <w:p>
      <w:pPr>
        <w:ind w:left="5954"/>
        <w:rPr>
          <w:rFonts w:ascii="Times New Roman" w:hAnsi="Times New Roman" w:cs="Times New Roman"/>
          <w:sz w:val="24"/>
          <w:szCs w:val="24"/>
        </w:rPr>
      </w:pPr>
    </w:p>
    <w:p>
      <w:pPr>
        <w:ind w:left="5954"/>
        <w:rPr>
          <w:rFonts w:ascii="Times New Roman" w:hAnsi="Times New Roman" w:cs="Times New Roman"/>
          <w:sz w:val="24"/>
          <w:szCs w:val="24"/>
        </w:rPr>
      </w:pPr>
    </w:p>
    <w:p>
      <w:pPr>
        <w:ind w:left="5954"/>
        <w:rPr>
          <w:rFonts w:ascii="Times New Roman" w:hAnsi="Times New Roman" w:cs="Times New Roman"/>
          <w:sz w:val="24"/>
          <w:szCs w:val="24"/>
        </w:rPr>
      </w:pPr>
    </w:p>
    <w:p>
      <w:pPr>
        <w:ind w:left="5954"/>
        <w:rPr>
          <w:rFonts w:ascii="Times New Roman" w:hAnsi="Times New Roman" w:cs="Times New Roman"/>
          <w:sz w:val="24"/>
          <w:szCs w:val="24"/>
        </w:rPr>
      </w:pPr>
    </w:p>
    <w:p>
      <w:pPr>
        <w:ind w:left="5954"/>
        <w:rPr>
          <w:rFonts w:ascii="Times New Roman" w:hAnsi="Times New Roman" w:cs="Times New Roman"/>
          <w:sz w:val="24"/>
          <w:szCs w:val="24"/>
        </w:rPr>
      </w:pPr>
    </w:p>
    <w:p>
      <w:pPr>
        <w:ind w:left="5954"/>
        <w:rPr>
          <w:rFonts w:ascii="Times New Roman" w:hAnsi="Times New Roman" w:cs="Times New Roman"/>
          <w:sz w:val="24"/>
          <w:szCs w:val="24"/>
        </w:rPr>
      </w:pPr>
    </w:p>
    <w:p>
      <w:pPr>
        <w:ind w:left="5954"/>
        <w:rPr>
          <w:rFonts w:ascii="Times New Roman" w:hAnsi="Times New Roman" w:cs="Times New Roman"/>
          <w:sz w:val="24"/>
          <w:szCs w:val="24"/>
        </w:rPr>
      </w:pPr>
    </w:p>
    <w:p>
      <w:pPr>
        <w:ind w:left="5954"/>
        <w:rPr>
          <w:rFonts w:ascii="Times New Roman" w:hAnsi="Times New Roman" w:cs="Times New Roman"/>
          <w:sz w:val="24"/>
          <w:szCs w:val="24"/>
        </w:rPr>
      </w:pPr>
    </w:p>
    <w:p>
      <w:pPr>
        <w:ind w:left="5954"/>
        <w:rPr>
          <w:rFonts w:ascii="Times New Roman" w:hAnsi="Times New Roman" w:cs="Times New Roman"/>
          <w:sz w:val="24"/>
          <w:szCs w:val="24"/>
        </w:rPr>
      </w:pPr>
    </w:p>
    <w:p>
      <w:pPr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>
      <w:pPr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народных депутатов городского поселения город Калач Калачеевского муниципального района Воронежской области от ___________ 2017 г. № ______</w:t>
      </w:r>
    </w:p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учета предложений по проекту  муниципального правового акта о внесении изменений и дополнений в Устав муниципального образования городское поселение город Калач Калачеевского муниципального района Воронежской области и участия граждан в его обсуждении.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Проект Устава муниципального образования городское поселение город Калач (далее - проект Устава) подлежит официальному опубликованию не позднее чем за 30 дней до дня рассмотрения указанного проекта на заседании совета депутатов городского поселения город Калач с одновременным опубликованием настоящего Положения.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Граждане, проживающие на территории городского поселения город Калач и обладающие избирательным правом, вправе принять участие в обсуждении проекта Устава путем внесения предложений к указанному проекту. Предложения принимаются администрацией городского поселения город Калач по адресу: 397600, Воронежская область, Калачеевский район, г. Калач, пл. Ленина, д.6.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Предложения по проекту Устава принимаются администрацией городского поселения город Калач в течение 10 дней со дня опубликования проекта Устава и настоящего Положения.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предложениях должны быть указаны фамилия, имя, отчество, адрес места жительства и личная подпись гражданина (граждан).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по проекту Устава вносятся в форме конкретно сформулированных положений (норм) Устава с соблюдением требований законодательной техники либо в форме обращений (писем) с изложением сути вносимого предложения.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Устные предложения по проекту Устава, внесенные при обсуждении проекта на собраниях по месту жительства (работы) или в ходе публичных слушаний, учитываются организаторами собраний (публичных слушаний) и в течение трех дней передаются в администрацию городского поселения город Калач.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 поступивших предложений по проекту Устава, систематизированный (сгруппированный) по разделам, статьям, пунктам и подпунктам решения, представляется в Совет депутатов не позднее, чем за пять дней до дня рассмотрения вопроса о принятии Устава.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поступивших предложений и принятие решений о внесении изменений и дополнений (поправок) в проект Устава либо отклонении внесенных поправок осуществляются Советом депутатов в соответствии с действующим порядком принятия решений по вопросам местного значения.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внесении поправок в проект Устава считается принятым, если за него проголосовало квалифицированное большинство в две трети от установленного числа депутатов Совета депутатов.</w:t>
      </w:r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46D4"/>
    <w:multiLevelType w:val="multilevel"/>
    <w:tmpl w:val="E794BD44"/>
    <w:lvl w:ilvl="0">
      <w:start w:val="1"/>
      <w:numFmt w:val="decimal"/>
      <w:lvlText w:val="%1."/>
      <w:lvlJc w:val="left"/>
      <w:pPr>
        <w:ind w:left="1865" w:hanging="1155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pPr>
      <w:autoSpaceDE/>
      <w:autoSpaceDN/>
      <w:adjustRightInd/>
      <w:snapToGrid w:val="0"/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eastAsia="Calibr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Arial" w:eastAsia="Calibri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ЮристЪ</dc:creator>
  <cp:keywords/>
  <dc:description/>
  <cp:lastModifiedBy>Admin</cp:lastModifiedBy>
  <cp:revision>22</cp:revision>
  <cp:lastPrinted>2016-09-20T14:35:00Z</cp:lastPrinted>
  <dcterms:created xsi:type="dcterms:W3CDTF">2016-07-11T05:53:00Z</dcterms:created>
  <dcterms:modified xsi:type="dcterms:W3CDTF">2017-06-16T13:57:00Z</dcterms:modified>
</cp:coreProperties>
</file>