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41630" cy="429260"/>
            <wp:effectExtent l="0" t="0" r="127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 xml:space="preserve">АДМИНИСТРАЦИЯ </w:t>
      </w:r>
    </w:p>
    <w:p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>ГОРОДСКОГО ПОСЕЛЕНИЯ ГОРОД КАЛАЧ</w:t>
      </w:r>
    </w:p>
    <w:p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>ВОРОНЕЖСКОЙ ОБЛАСТИ</w:t>
      </w:r>
    </w:p>
    <w:p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</w:p>
    <w:p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/>
          <w:bCs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eastAsia="ru-RU"/>
        </w:rPr>
        <w:t>ПОСТАНОВЛЕНИЕ</w:t>
      </w:r>
    </w:p>
    <w:p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/>
          <w:bCs/>
          <w:kern w:val="1"/>
          <w:sz w:val="24"/>
          <w:szCs w:val="24"/>
          <w:lang w:eastAsia="ru-RU"/>
        </w:rPr>
      </w:pPr>
    </w:p>
    <w:p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ru-RU"/>
        </w:rPr>
        <w:t>от " 08 " декабря 2017 № 622</w:t>
      </w:r>
    </w:p>
    <w:p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ru-RU"/>
        </w:rPr>
        <w:t>г. Калач</w:t>
      </w:r>
    </w:p>
    <w:p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p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городского поселения город Калач от 28.04.2017 № 183 «Об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Предоставление разрешения на ввод объекта в эксплуатацию». </w:t>
      </w:r>
    </w:p>
    <w:p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приведения регламента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разрешения на ввод объекта в эксплуатацию»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соответствие с требованиями действующего законодательства, администрация 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я е т: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административный регламент по предоставлению муниципальной услуги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разрешения на ввод объекта в эксплуатацию»</w:t>
      </w:r>
      <w:r>
        <w:rPr>
          <w:rFonts w:ascii="Arial" w:eastAsia="Times New Roman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город Калач Калачеевского муниципального района Воронежской области от 28.04.2017 № 183 (далее по тексту административный регламент), следующие изменения: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 2.4. Изложить в следующей редакции.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 2.4. Срок предоставления муниципальной услуги. </w:t>
      </w:r>
      <w:r>
        <w:rPr>
          <w:rFonts w:ascii="Arial" w:hAnsi="Arial" w:cs="Arial"/>
          <w:sz w:val="24"/>
          <w:szCs w:val="24"/>
        </w:rPr>
        <w:t>Муниципальная услуга предоставляется в течение 7 рабочих дней со дня поступления заявления о выдаче разрешения на ввод объекта в эксплуатацию.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Сроки прохождения отдельных административных процедур, необходимых для предоставления муниципальной услуги включают: </w:t>
      </w:r>
    </w:p>
    <w:p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прием и регистрация заявления и прилагаемых к нему документов – 1 рабочий день;</w:t>
      </w:r>
    </w:p>
    <w:p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 – 4 рабочих дня;</w:t>
      </w:r>
    </w:p>
    <w:p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разрешения на ввод объекта в эксплуатацию или решения об отказе в выдаче  разрешения на ввод объекта в эксплуатацию – 1 рабочий день;</w:t>
      </w:r>
    </w:p>
    <w:p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выдача (направление) заявителю разрешения на ввод объекта в эксплуатацию или решения об отказе в выдаче  разрешения на ввод объекта в эксплуатацию – 1 рабочий день.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последний день срока предоставления муниципальной услуги приходится на нерабочий день, днем окончания срока предоставления муниципальной услуги считается ближайший следующий за ним рабочий день.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</w:t>
      </w:r>
      <w:r>
        <w:rPr>
          <w:rFonts w:ascii="Arial" w:hAnsi="Arial" w:cs="Arial"/>
          <w:sz w:val="24"/>
          <w:szCs w:val="24"/>
        </w:rPr>
        <w:lastRenderedPageBreak/>
        <w:t>ошибки или получения от любого заинтересованного лица в письменной форме заявления об ошибке в записях.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предусмотрено».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rFonts w:eastAsia="Times New Roman"/>
          <w:sz w:val="24"/>
          <w:szCs w:val="24"/>
          <w:lang w:eastAsia="ru-RU"/>
        </w:rPr>
        <w:t xml:space="preserve"> Пункт  2.7. </w:t>
      </w:r>
      <w:r>
        <w:rPr>
          <w:sz w:val="24"/>
          <w:szCs w:val="24"/>
        </w:rPr>
        <w:t>Изложить  в следующей редакции.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«2.7. Исчерпывающий</w:t>
      </w:r>
      <w:r>
        <w:rPr>
          <w:sz w:val="24"/>
          <w:szCs w:val="24"/>
        </w:rPr>
        <w:t xml:space="preserve"> перечень оснований для отказа в приеме документов, необходимых  для предоставления муниципальной услуги:</w:t>
      </w:r>
    </w:p>
    <w:p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 подача заявления лицом, не уполномоченным совершать такого рода действия».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Пункт  2.8. Изложить в следующей редакции.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 2.8. Исчерпывающий перечень оснований для отказа в предоставлении 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отсутствие документов, перечисленных в пункте 2.6.1 настоящего Административного регламента;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rPr>
          <w:rFonts w:ascii="Arial" w:hAnsi="Arial" w:cs="Arial"/>
          <w:sz w:val="24"/>
          <w:szCs w:val="24"/>
        </w:rPr>
        <w:t>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регламентом».</w:t>
      </w:r>
    </w:p>
    <w:p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1.4.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 пункте 2.6.1 административного регламента слова по тексту «Едином государственном реестре прав на недвижимое имущество и сделок с ним» заменить на «Едином государственном реестра недвижимости»</w:t>
      </w:r>
      <w:proofErr w:type="gramEnd"/>
    </w:p>
    <w:p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proofErr w:type="gramStart"/>
      <w:r>
        <w:rPr>
          <w:rFonts w:ascii="Arial" w:hAnsi="Arial" w:cs="Arial"/>
          <w:sz w:val="24"/>
          <w:szCs w:val="24"/>
        </w:rPr>
        <w:t>В пункте 2.6.2 административного регламента слова по тексту «Едином государственном реестре прав на недвижимое имущество и сделок с ним» заменить на «Едином государственном реестра недвижимости»</w:t>
      </w:r>
      <w:proofErr w:type="gramEnd"/>
    </w:p>
    <w:p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пункте 3.3.3 административного регламента слова по тексту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1.7.</w:t>
      </w:r>
      <w:r>
        <w:rPr>
          <w:rFonts w:eastAsia="Times New Roman"/>
          <w:sz w:val="24"/>
          <w:szCs w:val="24"/>
          <w:lang w:eastAsia="ru-RU"/>
        </w:rPr>
        <w:t xml:space="preserve"> Пункт  5.5. Изложить в следующей редакции.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 5.5. Заявитель может обжаловать решения и действия (бездействие) должностных лиц, муниципальных служащих администрации главе поселения.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Ж</w:t>
      </w:r>
      <w:r>
        <w:rPr>
          <w:color w:val="000000"/>
          <w:sz w:val="24"/>
          <w:szCs w:val="24"/>
        </w:rPr>
        <w:t>алоба на решения и (или) действия (бездействие) органов, предоставляющих муниципальную услугу, их должностных лиц,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  <w:proofErr w:type="gramEnd"/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</w:t>
      </w:r>
      <w:r>
        <w:rPr>
          <w:rFonts w:eastAsia="Times New Roman"/>
          <w:sz w:val="24"/>
          <w:szCs w:val="24"/>
          <w:lang w:eastAsia="ru-RU"/>
        </w:rPr>
        <w:t xml:space="preserve"> Пункт  5.7.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Изложить в следующей редакции.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 5.7.Должностное лицо, уполномоченное на рассмотрение жалобы, или администрация отказывают в удовлетворении жалобы в следующих случаях. Изложить в следующей редакции. </w:t>
      </w:r>
    </w:p>
    <w:p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уполномоченное на рассмотрение жалобы, или администрация </w:t>
      </w:r>
      <w:r>
        <w:rPr>
          <w:rFonts w:ascii="Arial" w:hAnsi="Arial" w:cs="Arial"/>
          <w:sz w:val="24"/>
          <w:szCs w:val="24"/>
        </w:rPr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текст письменного обращения не поддается прочтению, ответ на жалобу не дается, о чем в течение семи дней со дня регистрации жалобы сообщается гражданину, направившему обращение, если его фамилия и почтовый адрес поддаются прочтению».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>
        <w:rPr>
          <w:rFonts w:ascii="Arial" w:eastAsia="Lucida Sans Unicode" w:hAnsi="Arial" w:cs="Arial"/>
          <w:kern w:val="1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Lucida Sans Unicode" w:hAnsi="Arial" w:cs="Arial"/>
          <w:kern w:val="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p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Глава администрации </w:t>
      </w:r>
    </w:p>
    <w:p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городского поселения город Калач                                         Т.В. Мирошникова</w:t>
      </w:r>
      <w:bookmarkEnd w:id="0"/>
    </w:p>
    <w:sectPr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Pr>
      <w:vertAlign w:val="superscript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</w:style>
  <w:style w:type="paragraph" w:styleId="a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268C-F082-4361-9C80-F846F129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Admin</cp:lastModifiedBy>
  <cp:revision>61</cp:revision>
  <cp:lastPrinted>2017-12-14T12:51:00Z</cp:lastPrinted>
  <dcterms:created xsi:type="dcterms:W3CDTF">2017-12-14T10:38:00Z</dcterms:created>
  <dcterms:modified xsi:type="dcterms:W3CDTF">2017-12-18T12:47:00Z</dcterms:modified>
</cp:coreProperties>
</file>