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464"/>
      </w:tblGrid>
      <w:tr>
        <w:trPr>
          <w:trHeight w:val="2700"/>
        </w:trPr>
        <w:tc>
          <w:tcPr>
            <w:tcW w:w="946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0675" cy="403860"/>
                  <wp:effectExtent l="0" t="0" r="0" b="0"/>
                  <wp:docPr id="2" name="Рисунок 2" descr="Описание: КалачГ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лачГ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АМИНИСТРАЦИЯ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ВОРОНЕЖСКОЙ ОБЛАСТИ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 С ТА Н О В Л Е Н И Е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a4"/>
        <w:ind w:right="-3"/>
        <w:rPr>
          <w:rFonts w:ascii="Arial" w:hAnsi="Arial" w:cs="Arial"/>
          <w:b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 05 » марта 2018 № 73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Калач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6521"/>
          <w:tab w:val="left" w:pos="6663"/>
          <w:tab w:val="left" w:pos="6804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от 23.06.2017 № 296 «Об утверждении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город Калач Калачеевского муниципального района Воронежской области на 2017 - 2030 годы»</w:t>
      </w:r>
    </w:p>
    <w:p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proofErr w:type="spellStart"/>
      <w:r>
        <w:rPr>
          <w:rFonts w:ascii="Arial" w:eastAsia="Times New Roman" w:hAnsi="Arial" w:cs="Arial"/>
          <w:sz w:val="24"/>
          <w:szCs w:val="24"/>
        </w:rPr>
        <w:t>п.п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6 п. 1 ст. 17 Федерального закона от 06.10.2003 № 131-ФЗ «Об общих принципах организации местного самоуправления в Российской Федерации», ст. 26 Градостроительного кодекса Российской Федерации, принятого Федеральным законом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от 29.12.2004 N 190-ФЗ, в целях актуализации Программы </w:t>
      </w:r>
      <w:r>
        <w:rPr>
          <w:rFonts w:ascii="Arial" w:hAnsi="Arial" w:cs="Arial"/>
          <w:bCs/>
          <w:sz w:val="24"/>
          <w:szCs w:val="24"/>
        </w:rPr>
        <w:t>комплексного развития систем коммунальной инфраструктуры городского поселения город Калач Калачеевского муниципального района Воронежской области на 2017 - 2030 годы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и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приведения в соответствие с </w:t>
      </w:r>
      <w:r>
        <w:rPr>
          <w:rFonts w:ascii="Arial" w:hAnsi="Arial" w:cs="Arial"/>
          <w:sz w:val="24"/>
          <w:szCs w:val="24"/>
        </w:rPr>
        <w:t xml:space="preserve">Прогнозом социально-экономического развития городского поселения город Калач на 2017 год и на плановый период 2018 – 2019 годы, утвержденным Решением Совета народных депутатов городского поселения город Калач от 21.12.2017 № 310,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 Внести в постановление </w:t>
      </w:r>
      <w:r>
        <w:rPr>
          <w:rFonts w:ascii="Arial" w:hAnsi="Arial" w:cs="Arial"/>
          <w:bCs/>
          <w:sz w:val="24"/>
          <w:szCs w:val="24"/>
        </w:rPr>
        <w:t xml:space="preserve">администрации городского поселения город Калач от 23.06.2017 № 296 «Об утверждении </w:t>
      </w:r>
      <w:proofErr w:type="gramStart"/>
      <w:r>
        <w:rPr>
          <w:rFonts w:ascii="Arial" w:hAnsi="Arial" w:cs="Arial"/>
          <w:bCs/>
          <w:sz w:val="24"/>
          <w:szCs w:val="24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 Калач Калачеевского муниципального района Воронежской области на 2017 - 2030 годы» </w:t>
      </w:r>
      <w:r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изменения: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1.1 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аздел «Объемы требуемых капитальных вложений» части 1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Паспорт </w:t>
      </w:r>
      <w:proofErr w:type="gramStart"/>
      <w:r>
        <w:rPr>
          <w:rFonts w:ascii="Arial" w:hAnsi="Arial" w:cs="Arial"/>
          <w:bCs/>
          <w:sz w:val="24"/>
          <w:szCs w:val="24"/>
        </w:rPr>
        <w:t>Программы комплексного развития систем коммунальной инфраструктуры городского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город Калач Калачеевского муниципального района Воронежской области на 2017 - 2030 годы (далее – Программа)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изложить следующей редакции: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7438"/>
      </w:tblGrid>
      <w:tr>
        <w:trPr>
          <w:trHeight w:val="286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требуемых капитальных вложений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объем финансирования – 212,049 млн. руб.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числе: 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млн. руб.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Воронежской области – 211,172 млн. руб.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поселения – 0,774 млн. руб.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предприятий-поставщиков жилищно-коммунальных услуг  – 0,103 млн. руб.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(объемы финансирования Программы за счет средств бюджетов всех уровней и внебюджетных средств </w:t>
            </w:r>
            <w:proofErr w:type="gramStart"/>
            <w:r>
              <w:rPr>
                <w:sz w:val="24"/>
                <w:szCs w:val="24"/>
              </w:rPr>
              <w:t>носят прогнозный характер и подлежат</w:t>
            </w:r>
            <w:proofErr w:type="gramEnd"/>
            <w:r>
              <w:rPr>
                <w:sz w:val="24"/>
                <w:szCs w:val="24"/>
              </w:rPr>
              <w:t xml:space="preserve"> уточнению в установленном порядке).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tbl>
            <w:tblPr>
              <w:tblStyle w:val="aff2"/>
              <w:tblW w:w="7037" w:type="dxa"/>
              <w:tblLook w:val="04A0" w:firstRow="1" w:lastRow="0" w:firstColumn="1" w:lastColumn="0" w:noHBand="0" w:noVBand="1"/>
            </w:tblPr>
            <w:tblGrid>
              <w:gridCol w:w="921"/>
              <w:gridCol w:w="1230"/>
              <w:gridCol w:w="1444"/>
              <w:gridCol w:w="779"/>
              <w:gridCol w:w="1218"/>
              <w:gridCol w:w="1445"/>
            </w:tblGrid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ВНИ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156,729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2 000,500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103,000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2 260,229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8,253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2 364,322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2 372,575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2 299,700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2 299,700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27,000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10 820,400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10 847,400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27,000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9 241,600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9 268,600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277,500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92 222,500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92 500,000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277,500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92 222,500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92 500,000</w:t>
                  </w: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942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773,982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211 171,522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103,0000</w:t>
                  </w:r>
                </w:p>
              </w:tc>
              <w:tc>
                <w:tcPr>
                  <w:tcW w:w="1560" w:type="dxa"/>
                </w:tcPr>
                <w:p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212 048,504</w:t>
                  </w:r>
                </w:p>
              </w:tc>
            </w:tr>
          </w:tbl>
          <w:p>
            <w:pPr>
              <w:pStyle w:val="ConsPlusCell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1.2. Таблицу 16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1.2.3 </w:t>
      </w:r>
      <w:r>
        <w:rPr>
          <w:rFonts w:ascii="Arial" w:hAnsi="Arial" w:cs="Arial"/>
          <w:sz w:val="24"/>
          <w:szCs w:val="24"/>
        </w:rPr>
        <w:t xml:space="preserve">Ценовая политика в сфере оказания коммунальных услуг п. 2.2 Анализ в сфере жилищно-коммунального хозяйства части </w:t>
      </w:r>
      <w:r>
        <w:rPr>
          <w:rFonts w:ascii="Arial" w:hAnsi="Arial" w:cs="Arial"/>
          <w:bCs/>
          <w:sz w:val="24"/>
          <w:szCs w:val="24"/>
        </w:rPr>
        <w:t xml:space="preserve">2 Характеристика существующего состояния систем коммунальной инфраструктуры городского поселения город Калач Программы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Таблица 16 – Тарифы на электроэнергию на период 2017-2018 годы</w:t>
      </w:r>
    </w:p>
    <w:tbl>
      <w:tblPr>
        <w:tblStyle w:val="aff2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851"/>
        <w:gridCol w:w="1610"/>
        <w:gridCol w:w="1610"/>
        <w:gridCol w:w="1413"/>
        <w:gridCol w:w="1413"/>
      </w:tblGrid>
      <w:tr>
        <w:trPr>
          <w:jc w:val="center"/>
        </w:trPr>
        <w:tc>
          <w:tcPr>
            <w:tcW w:w="54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vAlign w:val="center"/>
          </w:tcPr>
          <w:p>
            <w:pPr>
              <w:pStyle w:val="s1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Цена/тариф на период 01.01.2017 – 30.06.2017</w:t>
            </w:r>
          </w:p>
        </w:tc>
        <w:tc>
          <w:tcPr>
            <w:tcW w:w="1610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Цена/тариф на период 01.07.2017 – 31.12.2017</w:t>
            </w:r>
          </w:p>
        </w:tc>
        <w:tc>
          <w:tcPr>
            <w:tcW w:w="1413" w:type="dxa"/>
          </w:tcPr>
          <w:p>
            <w:pPr>
              <w:pStyle w:val="s1"/>
              <w:ind w:right="-1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Цена/тариф на период 01.01.2018 – 30.06.2018</w:t>
            </w:r>
          </w:p>
        </w:tc>
        <w:tc>
          <w:tcPr>
            <w:tcW w:w="1413" w:type="dxa"/>
          </w:tcPr>
          <w:p>
            <w:pPr>
              <w:pStyle w:val="s1"/>
              <w:ind w:right="-1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Цена/тариф на период 01.07.2018 – 31.12.2018</w:t>
            </w:r>
          </w:p>
        </w:tc>
      </w:tr>
      <w:tr>
        <w:trPr>
          <w:jc w:val="center"/>
        </w:trPr>
        <w:tc>
          <w:tcPr>
            <w:tcW w:w="54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40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>
            <w:pPr>
              <w:pStyle w:val="s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851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</w:tr>
      <w:tr>
        <w:trPr>
          <w:jc w:val="center"/>
        </w:trPr>
        <w:tc>
          <w:tcPr>
            <w:tcW w:w="540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>
            <w:pPr>
              <w:pStyle w:val="s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тариф, дифференцированный по 2 зонам суток</w:t>
            </w:r>
          </w:p>
        </w:tc>
        <w:tc>
          <w:tcPr>
            <w:tcW w:w="851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2,74/1,55</w:t>
            </w:r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2,84/1,61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2,84/1,61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2,97/1,68</w:t>
            </w:r>
          </w:p>
        </w:tc>
      </w:tr>
      <w:tr>
        <w:trPr>
          <w:jc w:val="center"/>
        </w:trPr>
        <w:tc>
          <w:tcPr>
            <w:tcW w:w="540" w:type="dxa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>
            <w:pPr>
              <w:pStyle w:val="s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тариф, </w:t>
            </w:r>
            <w:r>
              <w:rPr>
                <w:sz w:val="24"/>
                <w:szCs w:val="24"/>
              </w:rPr>
              <w:lastRenderedPageBreak/>
              <w:t>дифференцированный по 3 зонам суток</w:t>
            </w:r>
          </w:p>
        </w:tc>
        <w:tc>
          <w:tcPr>
            <w:tcW w:w="851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Руб./кВт*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3,09/2,38/1,55</w:t>
            </w:r>
          </w:p>
        </w:tc>
        <w:tc>
          <w:tcPr>
            <w:tcW w:w="1610" w:type="dxa"/>
            <w:vAlign w:val="center"/>
          </w:tcPr>
          <w:p>
            <w:pPr>
              <w:pStyle w:val="s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3,21/2,47/1,61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left="-133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3,21/2,47/1,61</w:t>
            </w:r>
          </w:p>
        </w:tc>
        <w:tc>
          <w:tcPr>
            <w:tcW w:w="1413" w:type="dxa"/>
            <w:vAlign w:val="center"/>
          </w:tcPr>
          <w:p>
            <w:pPr>
              <w:pStyle w:val="s1"/>
              <w:ind w:left="-128" w:right="-2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3,35/2,58/1,68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1.3. Таблицу 19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1.2.3 </w:t>
      </w:r>
      <w:r>
        <w:rPr>
          <w:rFonts w:ascii="Arial" w:hAnsi="Arial" w:cs="Arial"/>
          <w:sz w:val="24"/>
          <w:szCs w:val="24"/>
        </w:rPr>
        <w:t xml:space="preserve">Ценовая политика в сфере оказания коммунальных услуг п. 2.2 Анализ в сфере жилищно-коммунального хозяйства части </w:t>
      </w:r>
      <w:r>
        <w:rPr>
          <w:rFonts w:ascii="Arial" w:hAnsi="Arial" w:cs="Arial"/>
          <w:bCs/>
          <w:sz w:val="24"/>
          <w:szCs w:val="24"/>
        </w:rPr>
        <w:t xml:space="preserve">2 Характеристика существующего состояния систем коммунальной инфраструктуры городского поселения город Калач Программы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Таблица 19 – Тарифы для ООО "Газпром </w:t>
      </w:r>
      <w:proofErr w:type="spellStart"/>
      <w:r>
        <w:rPr>
          <w:rFonts w:ascii="Arial" w:hAnsi="Arial" w:cs="Arial"/>
          <w:sz w:val="24"/>
          <w:szCs w:val="24"/>
        </w:rPr>
        <w:t>теплоэнерго</w:t>
      </w:r>
      <w:proofErr w:type="spellEnd"/>
      <w:r>
        <w:rPr>
          <w:rFonts w:ascii="Arial" w:hAnsi="Arial" w:cs="Arial"/>
          <w:sz w:val="24"/>
          <w:szCs w:val="24"/>
        </w:rPr>
        <w:t xml:space="preserve"> Воронеж" на период 2017-2018 годы</w:t>
      </w:r>
    </w:p>
    <w:tbl>
      <w:tblPr>
        <w:tblW w:w="89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17"/>
        <w:gridCol w:w="2268"/>
        <w:gridCol w:w="1499"/>
        <w:gridCol w:w="1619"/>
      </w:tblGrid>
      <w:tr>
        <w:trPr>
          <w:trHeight w:val="315"/>
        </w:trPr>
        <w:tc>
          <w:tcPr>
            <w:tcW w:w="6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Тариф с 01.01.2017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(с НДС) руб./Гкал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Тариф с 01.07.2017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НДС) руб./Гкал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приказа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 приказа</w:t>
            </w:r>
          </w:p>
        </w:tc>
      </w:tr>
      <w:tr>
        <w:trPr>
          <w:trHeight w:val="315"/>
        </w:trPr>
        <w:tc>
          <w:tcPr>
            <w:tcW w:w="67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>
        <w:trPr>
          <w:trHeight w:val="315"/>
        </w:trPr>
        <w:tc>
          <w:tcPr>
            <w:tcW w:w="67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2 418,87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2 503,04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62/94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18.12.2015</w:t>
            </w:r>
          </w:p>
        </w:tc>
      </w:tr>
      <w:tr>
        <w:trPr>
          <w:trHeight w:val="315"/>
        </w:trPr>
        <w:tc>
          <w:tcPr>
            <w:tcW w:w="6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Тариф с 01.01.2018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(с НДС) руб./Гкал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Тариф с 01.07.2018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НДС) руб./Гкал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приказа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 приказа</w:t>
            </w:r>
          </w:p>
        </w:tc>
      </w:tr>
      <w:tr>
        <w:trPr>
          <w:trHeight w:val="315"/>
        </w:trPr>
        <w:tc>
          <w:tcPr>
            <w:tcW w:w="67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2 503,04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2 606,38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52/79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12.12.2017</w:t>
            </w:r>
          </w:p>
        </w:tc>
      </w:tr>
    </w:tbl>
    <w:p>
      <w:pPr>
        <w:pStyle w:val="s1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1.4. Таблицу 21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1.2.3 </w:t>
      </w:r>
      <w:r>
        <w:rPr>
          <w:rFonts w:ascii="Arial" w:hAnsi="Arial" w:cs="Arial"/>
          <w:sz w:val="24"/>
          <w:szCs w:val="24"/>
        </w:rPr>
        <w:t xml:space="preserve">Ценовая политика в сфере оказания коммунальных услуг п. 2.2 Анализ в сфере жилищно-коммунального хозяйства части </w:t>
      </w:r>
      <w:r>
        <w:rPr>
          <w:rFonts w:ascii="Arial" w:hAnsi="Arial" w:cs="Arial"/>
          <w:bCs/>
          <w:sz w:val="24"/>
          <w:szCs w:val="24"/>
        </w:rPr>
        <w:t xml:space="preserve">2 Характеристика существующего состояния систем коммунальной инфраструктуры городского поселения город Калач Программы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>
      <w:pPr>
        <w:pStyle w:val="s1"/>
        <w:ind w:firstLine="709"/>
        <w:rPr>
          <w:sz w:val="24"/>
          <w:szCs w:val="24"/>
        </w:rPr>
      </w:pPr>
      <w:r>
        <w:rPr>
          <w:sz w:val="24"/>
          <w:szCs w:val="24"/>
        </w:rPr>
        <w:t>«Таблица 21 – Тарифы МП «Благоустройство» на услуги по сбору и вывозу ТБО на 2015-2018 годы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83"/>
        <w:gridCol w:w="2346"/>
        <w:gridCol w:w="1623"/>
        <w:gridCol w:w="2643"/>
      </w:tblGrid>
      <w:tr>
        <w:trPr>
          <w:trHeight w:val="113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Период действия тарифов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Тариф для населения,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НПА городского поселения город Калач</w:t>
            </w:r>
          </w:p>
        </w:tc>
      </w:tr>
      <w:tr>
        <w:trPr>
          <w:trHeight w:val="113"/>
          <w:jc w:val="center"/>
        </w:trPr>
        <w:tc>
          <w:tcPr>
            <w:tcW w:w="86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Услуга с грузчиком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Услуга без грузчика</w:t>
            </w:r>
          </w:p>
        </w:tc>
        <w:tc>
          <w:tcPr>
            <w:tcW w:w="2643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113"/>
          <w:jc w:val="center"/>
        </w:trPr>
        <w:tc>
          <w:tcPr>
            <w:tcW w:w="864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>
        <w:trPr>
          <w:trHeight w:val="113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272,27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Решение СНД от 26.11.2014 № 88</w:t>
            </w:r>
          </w:p>
        </w:tc>
      </w:tr>
      <w:tr>
        <w:trPr>
          <w:trHeight w:val="113"/>
          <w:jc w:val="center"/>
        </w:trPr>
        <w:tc>
          <w:tcPr>
            <w:tcW w:w="86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272,27</w:t>
            </w: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113"/>
          <w:jc w:val="center"/>
        </w:trPr>
        <w:tc>
          <w:tcPr>
            <w:tcW w:w="86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390,74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301,77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Решение СНД от 06.04.2017 № 250</w:t>
            </w:r>
          </w:p>
        </w:tc>
      </w:tr>
      <w:tr>
        <w:trPr>
          <w:trHeight w:val="113"/>
          <w:jc w:val="center"/>
        </w:trPr>
        <w:tc>
          <w:tcPr>
            <w:tcW w:w="864" w:type="dxa"/>
            <w:vMerge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429,53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331,11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Решение СНД от 21.12.2017 № 311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».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1.5. </w:t>
      </w:r>
      <w:r>
        <w:rPr>
          <w:rFonts w:ascii="Arial" w:hAnsi="Arial" w:cs="Arial"/>
          <w:sz w:val="24"/>
          <w:szCs w:val="24"/>
        </w:rPr>
        <w:t xml:space="preserve">Таблицу 22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п.п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1.2.3 </w:t>
      </w:r>
      <w:r>
        <w:rPr>
          <w:rFonts w:ascii="Arial" w:hAnsi="Arial" w:cs="Arial"/>
          <w:sz w:val="24"/>
          <w:szCs w:val="24"/>
        </w:rPr>
        <w:t xml:space="preserve">Ценовая политика в сфере оказания коммунальных услуг п. 2.2 Анализ в сфере жилищно-коммунального хозяйства части </w:t>
      </w:r>
      <w:r>
        <w:rPr>
          <w:rFonts w:ascii="Arial" w:hAnsi="Arial" w:cs="Arial"/>
          <w:bCs/>
          <w:sz w:val="24"/>
          <w:szCs w:val="24"/>
        </w:rPr>
        <w:t xml:space="preserve">2 Характеристика существующего состояния систем коммунальной инфраструктуры городского поселения город Калач Программы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«Таблица 22- </w:t>
      </w:r>
      <w:r>
        <w:rPr>
          <w:rFonts w:ascii="Arial" w:eastAsia="Times New Roman" w:hAnsi="Arial" w:cs="Arial"/>
          <w:sz w:val="24"/>
          <w:szCs w:val="24"/>
        </w:rPr>
        <w:t xml:space="preserve">Розничные цены на газ, реализуемый ООО «Газпром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межрегионгаз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Воронеж» населению Воронежской области по направлениям использования газа за период 2015 – 2018 годы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11"/>
        <w:gridCol w:w="959"/>
        <w:gridCol w:w="1534"/>
        <w:gridCol w:w="1543"/>
        <w:gridCol w:w="1450"/>
        <w:gridCol w:w="1450"/>
      </w:tblGrid>
      <w:tr>
        <w:trPr>
          <w:trHeight w:val="812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Направления использования газа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Розничные цены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НДС),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руб. за период 01.01.2015 – 30.06.2015 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Розничные цены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НДС),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 за период 01.07.2015 – 30.06.2016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Розничные цены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НДС),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 за период с 01.07.2016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Розничные цены (с НДС),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рублей с 01.07.2017 </w:t>
            </w:r>
          </w:p>
        </w:tc>
      </w:tr>
      <w:tr>
        <w:trPr>
          <w:trHeight w:val="173"/>
          <w:jc w:val="center"/>
        </w:trPr>
        <w:tc>
          <w:tcPr>
            <w:tcW w:w="5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523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rFonts w:ascii="Arial" w:eastAsia="Times New Roman" w:hAnsi="Arial" w:cs="Arial"/>
                  <w:sz w:val="24"/>
                  <w:szCs w:val="24"/>
                </w:rPr>
                <w:t>1000 м3</w:t>
              </w:r>
            </w:smartTag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6 158,35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6 600,68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6 800</w:t>
            </w:r>
          </w:p>
        </w:tc>
        <w:tc>
          <w:tcPr>
            <w:tcW w:w="13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 / 1 м3</w:t>
            </w:r>
          </w:p>
        </w:tc>
      </w:tr>
      <w:tr>
        <w:trPr>
          <w:trHeight w:val="801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нагрев воды с использованием газового водонагревателя при отсутствии центрального горячего водоснабжения 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rFonts w:ascii="Arial" w:eastAsia="Times New Roman" w:hAnsi="Arial" w:cs="Arial"/>
                  <w:sz w:val="24"/>
                  <w:szCs w:val="24"/>
                </w:rPr>
                <w:t>1000 м3</w:t>
              </w:r>
            </w:smartTag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6 158,35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6 600,68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6 800</w:t>
            </w:r>
          </w:p>
        </w:tc>
        <w:tc>
          <w:tcPr>
            <w:tcW w:w="13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 / 1 м3</w:t>
            </w:r>
          </w:p>
        </w:tc>
      </w:tr>
      <w:tr>
        <w:trPr>
          <w:trHeight w:val="1095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rFonts w:ascii="Arial" w:eastAsia="Times New Roman" w:hAnsi="Arial" w:cs="Arial"/>
                  <w:sz w:val="24"/>
                  <w:szCs w:val="24"/>
                </w:rPr>
                <w:t>1000 м3</w:t>
              </w:r>
            </w:smartTag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6158,35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6 600,68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6 800</w:t>
            </w:r>
          </w:p>
        </w:tc>
        <w:tc>
          <w:tcPr>
            <w:tcW w:w="13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 / 1 м3</w:t>
            </w:r>
          </w:p>
        </w:tc>
      </w:tr>
      <w:tr>
        <w:trPr>
          <w:trHeight w:val="1253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</w:t>
            </w:r>
            <w:r>
              <w:rPr>
                <w:sz w:val="24"/>
                <w:szCs w:val="24"/>
              </w:rPr>
              <w:lastRenderedPageBreak/>
              <w:t>собственников помещений в многоквартирных домах)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rFonts w:ascii="Arial" w:eastAsia="Times New Roman" w:hAnsi="Arial" w:cs="Arial"/>
                  <w:sz w:val="24"/>
                  <w:szCs w:val="24"/>
                </w:rPr>
                <w:t>1000 м3</w:t>
              </w:r>
            </w:smartTag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4 079,00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4 527,88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5 308,90</w:t>
            </w:r>
          </w:p>
        </w:tc>
        <w:tc>
          <w:tcPr>
            <w:tcW w:w="13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5 494,70</w:t>
            </w:r>
          </w:p>
        </w:tc>
      </w:tr>
      <w:tr>
        <w:trPr>
          <w:trHeight w:val="1003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87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rFonts w:ascii="Arial" w:eastAsia="Times New Roman" w:hAnsi="Arial" w:cs="Arial"/>
                  <w:sz w:val="24"/>
                  <w:szCs w:val="24"/>
                </w:rPr>
                <w:t>1000 м3</w:t>
              </w:r>
            </w:smartTag>
          </w:p>
        </w:tc>
        <w:tc>
          <w:tcPr>
            <w:tcW w:w="15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4 832,06</w:t>
            </w:r>
          </w:p>
        </w:tc>
        <w:tc>
          <w:tcPr>
            <w:tcW w:w="1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5 194,59</w:t>
            </w:r>
          </w:p>
        </w:tc>
        <w:tc>
          <w:tcPr>
            <w:tcW w:w="13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5 411,60</w:t>
            </w:r>
          </w:p>
        </w:tc>
        <w:tc>
          <w:tcPr>
            <w:tcW w:w="1339" w:type="dxa"/>
            <w:vAlign w:val="center"/>
          </w:tcPr>
          <w:p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5 601,00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>
      <w:pPr>
        <w:pStyle w:val="aa"/>
        <w:widowControl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1.6. Таблицу 32 п. 5 </w:t>
      </w:r>
      <w:r>
        <w:rPr>
          <w:rFonts w:ascii="Arial" w:hAnsi="Arial" w:cs="Arial"/>
          <w:bCs/>
          <w:sz w:val="24"/>
          <w:szCs w:val="24"/>
        </w:rPr>
        <w:t>Основные мероприятия программы и их финансовое обеспечение ч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асти 4 </w:t>
      </w:r>
      <w:r>
        <w:rPr>
          <w:rFonts w:ascii="Arial" w:eastAsia="Times New Roman" w:hAnsi="Arial" w:cs="Arial"/>
          <w:sz w:val="24"/>
          <w:szCs w:val="24"/>
        </w:rPr>
        <w:t>Обосновывающие материалы Программы изложить в редакции согласно приложению к настоящему постановлению.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 Сектору ФЭУ и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городского поселения город Калач </w:t>
      </w:r>
      <w:r>
        <w:rPr>
          <w:rFonts w:ascii="Arial" w:hAnsi="Arial" w:cs="Arial"/>
          <w:color w:val="000000" w:themeColor="text1"/>
          <w:sz w:val="24"/>
          <w:szCs w:val="24"/>
        </w:rPr>
        <w:t>обеспечить ежегодное финансирование Программы и мероприятий по ее реализации в пределах средств, предусмотренных на эти цели в городском бюджете на соответствующий финансовый год, с привлечением инвестиций и собственных средств организаций, эксплуатирующих объекты коммунальной инфраструктуры городского поселения город Калач.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разместить на официальном сайте администрации городского поселения город Калач в сети Интернет.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городского поселения город Калач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Т.В. Мирошникова</w:t>
      </w: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red"/>
        </w:rPr>
      </w:pPr>
      <w:r>
        <w:rPr>
          <w:rFonts w:ascii="Arial" w:eastAsia="Times New Roman" w:hAnsi="Arial" w:cs="Arial"/>
          <w:sz w:val="24"/>
          <w:szCs w:val="24"/>
          <w:highlight w:val="red"/>
        </w:rPr>
        <w:br w:type="page"/>
      </w:r>
    </w:p>
    <w:p>
      <w:pPr>
        <w:widowControl w:val="0"/>
        <w:suppressAutoHyphens/>
        <w:autoSpaceDE w:val="0"/>
        <w:spacing w:after="0"/>
        <w:jc w:val="right"/>
        <w:rPr>
          <w:rFonts w:ascii="Arial" w:eastAsia="Times New Roman" w:hAnsi="Arial" w:cs="Arial"/>
          <w:sz w:val="24"/>
          <w:szCs w:val="24"/>
          <w:lang w:eastAsia="zh-CN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</w:t>
      </w:r>
    </w:p>
    <w:p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городского поселения город Калач </w:t>
      </w:r>
    </w:p>
    <w:p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« 05 » марта 2018 г. № 73</w:t>
      </w:r>
    </w:p>
    <w:p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Таблица 32 - Перечень программных мероприятий по развитию систем коммунальной инфраструктуры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884"/>
        <w:gridCol w:w="1184"/>
        <w:gridCol w:w="666"/>
        <w:gridCol w:w="898"/>
        <w:gridCol w:w="138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30"/>
        <w:gridCol w:w="787"/>
      </w:tblGrid>
      <w:tr>
        <w:trPr>
          <w:trHeight w:val="243"/>
          <w:jc w:val="center"/>
        </w:trPr>
        <w:tc>
          <w:tcPr>
            <w:tcW w:w="161" w:type="pct"/>
            <w:vMerge w:val="restar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57" w:type="pct"/>
            <w:vMerge w:val="restar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7" w:type="pct"/>
            <w:gridSpan w:val="13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Стоимость, тыс. руб.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</w:tr>
      <w:tr>
        <w:trPr>
          <w:trHeight w:val="242"/>
          <w:jc w:val="center"/>
        </w:trPr>
        <w:tc>
          <w:tcPr>
            <w:tcW w:w="161" w:type="pct"/>
            <w:vMerge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298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460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209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61" w:type="pct"/>
            <w:vMerge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>
        <w:trPr>
          <w:trHeight w:val="242"/>
          <w:jc w:val="center"/>
        </w:trPr>
        <w:tc>
          <w:tcPr>
            <w:tcW w:w="161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8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4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9" w:type="pct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1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</w:tr>
      <w:tr>
        <w:trPr>
          <w:trHeight w:val="242"/>
          <w:jc w:val="center"/>
        </w:trPr>
        <w:tc>
          <w:tcPr>
            <w:tcW w:w="4739" w:type="pct"/>
            <w:gridSpan w:val="17"/>
          </w:tcPr>
          <w:p>
            <w:pPr>
              <w:pStyle w:val="aa"/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261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242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водопроводных сетей по ул. Гагарина протяженностью 275 м</w:t>
            </w:r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высокий износ трубопроводов, высокие потери ресурса, частые аварии и порывы (12 в 2016 году),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на трубы ПЭ. </w:t>
            </w:r>
            <w:proofErr w:type="gramStart"/>
            <w:r>
              <w:rPr>
                <w:rFonts w:ascii="Arial" w:hAnsi="Arial" w:cs="Arial"/>
              </w:rPr>
              <w:t>Ожидаемые результаты: увеличение надежности; снижение потерь)</w:t>
            </w:r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1749,7</w:t>
            </w:r>
          </w:p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6,829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1749,7</w:t>
            </w:r>
          </w:p>
          <w:p>
            <w:pPr>
              <w:spacing w:after="0" w:line="240" w:lineRule="auto"/>
              <w:ind w:left="-94" w:right="-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6,829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>
        <w:trPr>
          <w:trHeight w:val="242"/>
          <w:jc w:val="center"/>
        </w:trPr>
        <w:tc>
          <w:tcPr>
            <w:tcW w:w="16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Модернизация </w:t>
            </w:r>
            <w:r>
              <w:rPr>
                <w:rFonts w:ascii="Arial" w:hAnsi="Arial" w:cs="Arial"/>
              </w:rPr>
              <w:lastRenderedPageBreak/>
              <w:t xml:space="preserve">водопроводных сетей по ул. Дружбы, протяженностью </w:t>
            </w:r>
            <w:smartTag w:uri="urn:schemas-microsoft-com:office:smarttags" w:element="metricconverter">
              <w:smartTagPr>
                <w:attr w:name="ProductID" w:val="410 м"/>
              </w:smartTagPr>
              <w:r>
                <w:rPr>
                  <w:rFonts w:ascii="Arial" w:hAnsi="Arial" w:cs="Arial"/>
                </w:rPr>
                <w:t>410 м</w:t>
              </w:r>
            </w:smartTag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высокий износ трубопроводов, высокие потери ресурса,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стальных и асбестоцементных труб на трубы ПЭ. </w:t>
            </w:r>
            <w:proofErr w:type="gramStart"/>
            <w:r>
              <w:rPr>
                <w:rFonts w:ascii="Arial" w:hAnsi="Arial" w:cs="Arial"/>
              </w:rPr>
              <w:t>Ожидаемые результаты: увеличение надежности, доступности ресурса; снижение потерь; увеличение объема отпуска)</w:t>
            </w:r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8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*Необход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имо составление сметы</w:t>
            </w: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 таблицы 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69"/>
        <w:gridCol w:w="567"/>
        <w:gridCol w:w="567"/>
        <w:gridCol w:w="1275"/>
        <w:gridCol w:w="1416"/>
        <w:gridCol w:w="1703"/>
        <w:gridCol w:w="425"/>
        <w:gridCol w:w="425"/>
        <w:gridCol w:w="567"/>
        <w:gridCol w:w="567"/>
        <w:gridCol w:w="425"/>
        <w:gridCol w:w="567"/>
        <w:gridCol w:w="425"/>
        <w:gridCol w:w="425"/>
        <w:gridCol w:w="425"/>
        <w:gridCol w:w="488"/>
        <w:gridCol w:w="865"/>
      </w:tblGrid>
      <w:tr>
        <w:trPr>
          <w:trHeight w:val="242"/>
          <w:jc w:val="center"/>
        </w:trPr>
        <w:tc>
          <w:tcPr>
            <w:tcW w:w="15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51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3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7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</w:tr>
      <w:tr>
        <w:trPr>
          <w:trHeight w:val="242"/>
          <w:jc w:val="center"/>
        </w:trPr>
        <w:tc>
          <w:tcPr>
            <w:tcW w:w="15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151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Модернизация водопроводных сетей по пер. Дружбы, протяженностью </w:t>
            </w:r>
            <w:smartTag w:uri="urn:schemas-microsoft-com:office:smarttags" w:element="metricconverter">
              <w:smartTagPr>
                <w:attr w:name="ProductID" w:val="388 м"/>
              </w:smartTagPr>
              <w:r>
                <w:rPr>
                  <w:rFonts w:ascii="Arial" w:hAnsi="Arial" w:cs="Arial"/>
                </w:rPr>
                <w:t>388 м</w:t>
              </w:r>
            </w:smartTag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высокий износ трубопроводов, высокие потери ресурса,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стальных и асбестоцементных труб на трубы ПЭ. </w:t>
            </w:r>
            <w:proofErr w:type="gramStart"/>
            <w:r>
              <w:rPr>
                <w:rFonts w:ascii="Arial" w:hAnsi="Arial" w:cs="Arial"/>
              </w:rPr>
              <w:t>Ожидаемые результаты: увеличение надежности, доступности ресурса; снижение потерь; увеличение объема отпуска)</w:t>
            </w:r>
            <w:proofErr w:type="gramEnd"/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*Необходимо составление сметы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>
        <w:trPr>
          <w:trHeight w:val="242"/>
          <w:jc w:val="center"/>
        </w:trPr>
        <w:tc>
          <w:tcPr>
            <w:tcW w:w="15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151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Модернизация водопроводных сетей по ул. Терешковой, протяженностью </w:t>
            </w:r>
            <w:smartTag w:uri="urn:schemas-microsoft-com:office:smarttags" w:element="metricconverter">
              <w:smartTagPr>
                <w:attr w:name="ProductID" w:val="410 м"/>
              </w:smartTagPr>
              <w:r>
                <w:rPr>
                  <w:rFonts w:ascii="Arial" w:hAnsi="Arial" w:cs="Arial"/>
                </w:rPr>
                <w:t>410 м</w:t>
              </w:r>
            </w:smartTag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высокий износ трубопроводов, высокие потери ресурса,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стальных и асбестоцементных труб на трубы ПЭ. </w:t>
            </w:r>
            <w:proofErr w:type="gramStart"/>
            <w:r>
              <w:rPr>
                <w:rFonts w:ascii="Arial" w:hAnsi="Arial" w:cs="Arial"/>
              </w:rPr>
              <w:t xml:space="preserve">Ожидаемые </w:t>
            </w:r>
            <w:r>
              <w:rPr>
                <w:rFonts w:ascii="Arial" w:hAnsi="Arial" w:cs="Arial"/>
              </w:rPr>
              <w:lastRenderedPageBreak/>
              <w:t>результаты: увеличение надежности, доступности ресурса; снижение потерь; увеличение объема отпуска)</w:t>
            </w:r>
            <w:proofErr w:type="gramEnd"/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*Необходимо составление сметы</w:t>
            </w: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>
        <w:trPr>
          <w:trHeight w:val="242"/>
          <w:jc w:val="center"/>
        </w:trPr>
        <w:tc>
          <w:tcPr>
            <w:tcW w:w="15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151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Модернизация водопроводных сетей по ул. Железнодорожная протяженностью 555 м. (Обоснование: высокий износ трубопроводов, высокие потери ресурса,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стальных и асбестоцементных труб на трубы ПЭ. </w:t>
            </w:r>
            <w:proofErr w:type="gramStart"/>
            <w:r>
              <w:rPr>
                <w:rFonts w:ascii="Arial" w:hAnsi="Arial" w:cs="Arial"/>
              </w:rPr>
              <w:t>Ожидаемые результаты: увеличение надежности, доступности ресурса; снижение потерь; увеличение объема отпуска)</w:t>
            </w:r>
            <w:proofErr w:type="gramEnd"/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1447,424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5,813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1447,424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5,813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 таблицы 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58"/>
        <w:gridCol w:w="688"/>
        <w:gridCol w:w="817"/>
        <w:gridCol w:w="1714"/>
        <w:gridCol w:w="685"/>
        <w:gridCol w:w="622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873"/>
      </w:tblGrid>
      <w:tr>
        <w:trPr>
          <w:trHeight w:val="242"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1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2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</w:tr>
      <w:tr>
        <w:trPr>
          <w:trHeight w:val="242"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Модернизация водопроводных сетей по ул. Г. Ватутина (Обоснование: высокий износ трубопроводов, высокие потери ресурса, внеплановые затраты на аварийно-восстановительные работы.</w:t>
            </w:r>
            <w:proofErr w:type="gramEnd"/>
            <w:r>
              <w:rPr>
                <w:rFonts w:ascii="Arial" w:hAnsi="Arial" w:cs="Arial"/>
              </w:rPr>
              <w:t xml:space="preserve"> Замена стальных и асбестоцементных труб на трубы ПЭ. </w:t>
            </w:r>
            <w:proofErr w:type="gramStart"/>
            <w:r>
              <w:rPr>
                <w:rFonts w:ascii="Arial" w:hAnsi="Arial" w:cs="Arial"/>
              </w:rPr>
              <w:t>Ожидаемые результаты: увеличение надежности, доступности ресурса; снижение потерь; увеличение объема отпуска)</w:t>
            </w:r>
            <w:proofErr w:type="gramEnd"/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1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607,498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2,440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21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607,498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2,440</w:t>
            </w:r>
          </w:p>
        </w:tc>
      </w:tr>
      <w:tr>
        <w:trPr>
          <w:trHeight w:val="2813"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станции подъема воды на улицы </w:t>
            </w:r>
            <w:proofErr w:type="spellStart"/>
            <w:r>
              <w:rPr>
                <w:rFonts w:ascii="Arial" w:hAnsi="Arial" w:cs="Arial"/>
              </w:rPr>
              <w:t>Краснобратская</w:t>
            </w:r>
            <w:proofErr w:type="spellEnd"/>
            <w:r>
              <w:rPr>
                <w:rFonts w:ascii="Arial" w:hAnsi="Arial" w:cs="Arial"/>
              </w:rPr>
              <w:t xml:space="preserve">, Маршака, Котовского, Черняховского </w:t>
            </w:r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(Обоснование: в летнее время из-за низкого давления и начала поливочного периода возникает проблема дефицита воды у </w:t>
            </w:r>
            <w:r>
              <w:rPr>
                <w:rFonts w:ascii="Arial" w:hAnsi="Arial" w:cs="Arial"/>
              </w:rPr>
              <w:lastRenderedPageBreak/>
              <w:t>жителей домовладений, расположенных на вышеуказанных улицах.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Строительство объекта позволит решить проблему)</w:t>
            </w:r>
            <w:proofErr w:type="gramEnd"/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149,9</w:t>
            </w:r>
          </w:p>
        </w:tc>
        <w:tc>
          <w:tcPr>
            <w:tcW w:w="461" w:type="pct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149,9</w:t>
            </w:r>
          </w:p>
        </w:tc>
      </w:tr>
      <w:tr>
        <w:trPr>
          <w:trHeight w:val="242"/>
          <w:jc w:val="center"/>
        </w:trPr>
        <w:tc>
          <w:tcPr>
            <w:tcW w:w="17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Строительство станции повышения давления на Горе Пеньковая (Обоснование: в летнее время из-за низкого давления и начала поливочного периода возникает проблема дефицита воды у жителей домовладений, расположенных на Горе Пеньковая.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Строительство объекта позволит решить проблему)</w:t>
            </w:r>
            <w:proofErr w:type="gramEnd"/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61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*Необходимо составление сметы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 таблицы 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40"/>
        <w:gridCol w:w="928"/>
        <w:gridCol w:w="584"/>
        <w:gridCol w:w="997"/>
        <w:gridCol w:w="1560"/>
        <w:gridCol w:w="534"/>
        <w:gridCol w:w="528"/>
        <w:gridCol w:w="1714"/>
        <w:gridCol w:w="528"/>
        <w:gridCol w:w="528"/>
        <w:gridCol w:w="528"/>
        <w:gridCol w:w="528"/>
        <w:gridCol w:w="528"/>
        <w:gridCol w:w="528"/>
        <w:gridCol w:w="528"/>
        <w:gridCol w:w="528"/>
        <w:gridCol w:w="910"/>
      </w:tblGrid>
      <w:tr>
        <w:trPr>
          <w:trHeight w:val="242"/>
          <w:jc w:val="center"/>
        </w:trPr>
        <w:tc>
          <w:tcPr>
            <w:tcW w:w="17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7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8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</w:tr>
      <w:tr>
        <w:trPr>
          <w:trHeight w:val="242"/>
          <w:jc w:val="center"/>
        </w:trPr>
        <w:tc>
          <w:tcPr>
            <w:tcW w:w="17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Строительство станции повышения давления (на улицы А. </w:t>
            </w:r>
            <w:proofErr w:type="spellStart"/>
            <w:r>
              <w:rPr>
                <w:rFonts w:ascii="Arial" w:hAnsi="Arial" w:cs="Arial"/>
              </w:rPr>
              <w:t>Буквецкого</w:t>
            </w:r>
            <w:proofErr w:type="spellEnd"/>
            <w:r>
              <w:rPr>
                <w:rFonts w:ascii="Arial" w:hAnsi="Arial" w:cs="Arial"/>
              </w:rPr>
              <w:t>, Солнечная, Мостового, А. Иванова)</w:t>
            </w:r>
            <w:proofErr w:type="gramEnd"/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в летнее время из-за низкого давления и начала поливочного периода возникает проблема дефицита воды у жителей домовладений, расположенных на вышеуказанных улицах.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Строительство объекта позволит решить проблему)</w:t>
            </w:r>
            <w:proofErr w:type="gramEnd"/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*Необходимо составление сметы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>
        <w:trPr>
          <w:trHeight w:val="242"/>
          <w:jc w:val="center"/>
        </w:trPr>
        <w:tc>
          <w:tcPr>
            <w:tcW w:w="17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ПСД на строительство станции очистки воды </w:t>
            </w:r>
          </w:p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(Обоснование: превышен показатель жесткости подаваемой воды.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lastRenderedPageBreak/>
              <w:t>Ожидаемые результаты: снижение показателя жесткости до нормативного уровня)</w:t>
            </w:r>
            <w:proofErr w:type="gramEnd"/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*600</w:t>
            </w:r>
          </w:p>
        </w:tc>
        <w:tc>
          <w:tcPr>
            <w:tcW w:w="22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*600,0</w:t>
            </w:r>
          </w:p>
        </w:tc>
      </w:tr>
      <w:tr>
        <w:trPr>
          <w:trHeight w:val="242"/>
          <w:jc w:val="center"/>
        </w:trPr>
        <w:tc>
          <w:tcPr>
            <w:tcW w:w="176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станции очистки воды, подаваемой МП «</w:t>
            </w:r>
            <w:proofErr w:type="spellStart"/>
            <w:r>
              <w:rPr>
                <w:rFonts w:ascii="Arial" w:hAnsi="Arial" w:cs="Arial"/>
              </w:rPr>
              <w:t>Райводснаб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40" w:type="pct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 Стоимость будет определена после разработки ПСД</w:t>
            </w:r>
          </w:p>
        </w:tc>
        <w:tc>
          <w:tcPr>
            <w:tcW w:w="22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Продолжение таблицы 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275"/>
        <w:gridCol w:w="283"/>
        <w:gridCol w:w="847"/>
        <w:gridCol w:w="148"/>
        <w:gridCol w:w="702"/>
        <w:gridCol w:w="850"/>
        <w:gridCol w:w="850"/>
        <w:gridCol w:w="995"/>
        <w:gridCol w:w="708"/>
        <w:gridCol w:w="148"/>
        <w:gridCol w:w="419"/>
        <w:gridCol w:w="431"/>
        <w:gridCol w:w="136"/>
        <w:gridCol w:w="576"/>
        <w:gridCol w:w="280"/>
        <w:gridCol w:w="286"/>
        <w:gridCol w:w="139"/>
        <w:gridCol w:w="428"/>
        <w:gridCol w:w="425"/>
        <w:gridCol w:w="142"/>
        <w:gridCol w:w="286"/>
        <w:gridCol w:w="280"/>
        <w:gridCol w:w="148"/>
        <w:gridCol w:w="428"/>
        <w:gridCol w:w="434"/>
        <w:gridCol w:w="133"/>
        <w:gridCol w:w="775"/>
      </w:tblGrid>
      <w:tr>
        <w:trPr>
          <w:trHeight w:val="242"/>
          <w:jc w:val="center"/>
        </w:trPr>
        <w:tc>
          <w:tcPr>
            <w:tcW w:w="17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>
            <w:pPr>
              <w:pStyle w:val="af5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2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57" w:type="pct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</w:tr>
      <w:tr>
        <w:trPr>
          <w:trHeight w:val="242"/>
          <w:jc w:val="center"/>
        </w:trPr>
        <w:tc>
          <w:tcPr>
            <w:tcW w:w="5000" w:type="pct"/>
            <w:gridSpan w:val="28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33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Благоустройство, энергосбережение</w:t>
            </w:r>
          </w:p>
        </w:tc>
      </w:tr>
      <w:tr>
        <w:trPr>
          <w:trHeight w:val="242"/>
          <w:jc w:val="center"/>
        </w:trPr>
        <w:tc>
          <w:tcPr>
            <w:tcW w:w="17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108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Приобретение и установка светодиодных светильников уличного освещения</w:t>
            </w:r>
          </w:p>
          <w:p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(Обоснование: в соответствии с Приказом Минэкономразвития РФ от 04.06.2010 № 229 планируется заменить все имеющиеся светильники системы уличного освещения на энергосберегающие.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Требуется заменить 1 559 светильников)</w:t>
            </w:r>
            <w:proofErr w:type="gramEnd"/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23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235" w:right="-20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250,8</w:t>
            </w:r>
          </w:p>
        </w:tc>
        <w:tc>
          <w:tcPr>
            <w:tcW w:w="282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309,1</w:t>
            </w: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92" w:right="-25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1699,74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166" w:right="-183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1 883,4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33" w:right="-4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304,6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4447,6</w:t>
            </w:r>
          </w:p>
        </w:tc>
      </w:tr>
      <w:tr>
        <w:trPr>
          <w:trHeight w:val="242"/>
          <w:jc w:val="center"/>
        </w:trPr>
        <w:tc>
          <w:tcPr>
            <w:tcW w:w="5000" w:type="pct"/>
            <w:gridSpan w:val="28"/>
            <w:shd w:val="clear" w:color="auto" w:fill="auto"/>
            <w:vAlign w:val="center"/>
          </w:tcPr>
          <w:p>
            <w:pPr>
              <w:pStyle w:val="aa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Сбор, вывоз и утилизация ТБО (ТКО)</w:t>
            </w:r>
          </w:p>
        </w:tc>
      </w:tr>
      <w:tr>
        <w:trPr>
          <w:trHeight w:val="267"/>
          <w:jc w:val="center"/>
        </w:trPr>
        <w:tc>
          <w:tcPr>
            <w:tcW w:w="17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08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Проектирование и строительство полигона ТКО и мусоросортировочного комплекса Калачеевского кластера </w:t>
            </w:r>
          </w:p>
          <w:p>
            <w:pPr>
              <w:spacing w:after="0" w:line="240" w:lineRule="auto"/>
              <w:ind w:left="-11" w:right="-74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(Обоснование: высокий процент заполняемости существующего полигона, нецелесообразность его модернизации.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результаты: соблюдение требований к санитарному содержанию территории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поселения; снижение негативного воздействия на окружающую   среду; ликвидация экологических последствий хозяйственной деятельности человека)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  <w:p>
            <w:pPr>
              <w:spacing w:after="0" w:line="240" w:lineRule="auto"/>
              <w:ind w:left="-11" w:right="-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-разработка ПСД</w:t>
            </w:r>
          </w:p>
          <w:p>
            <w:pPr>
              <w:spacing w:after="0" w:line="240" w:lineRule="auto"/>
              <w:ind w:left="-11" w:right="-7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строительство объектов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  <w:p>
            <w:pPr>
              <w:spacing w:after="0" w:line="240" w:lineRule="auto"/>
              <w:ind w:left="-142" w:right="-13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 (район)</w:t>
            </w:r>
          </w:p>
        </w:tc>
        <w:tc>
          <w:tcPr>
            <w:tcW w:w="233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8 937,0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27,0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8 937,0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92 222,5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277,5</w:t>
            </w:r>
          </w:p>
        </w:tc>
        <w:tc>
          <w:tcPr>
            <w:tcW w:w="329" w:type="pct"/>
            <w:gridSpan w:val="3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87" w:right="-12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92 222,5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277,5</w:t>
            </w:r>
          </w:p>
        </w:tc>
        <w:tc>
          <w:tcPr>
            <w:tcW w:w="141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1" w:type="pct"/>
            <w:gridSpan w:val="2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left="-91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right="-19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202 319,0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609,0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Окончание таблицы 32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64"/>
        <w:gridCol w:w="993"/>
        <w:gridCol w:w="817"/>
        <w:gridCol w:w="1122"/>
        <w:gridCol w:w="721"/>
        <w:gridCol w:w="857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1090"/>
      </w:tblGrid>
      <w:tr>
        <w:trPr>
          <w:trHeight w:val="242"/>
          <w:jc w:val="center"/>
        </w:trPr>
        <w:tc>
          <w:tcPr>
            <w:tcW w:w="5000" w:type="pct"/>
            <w:gridSpan w:val="18"/>
            <w:vAlign w:val="center"/>
          </w:tcPr>
          <w:p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Система теплоснабжения</w:t>
            </w:r>
          </w:p>
        </w:tc>
      </w:tr>
      <w:tr>
        <w:trPr>
          <w:trHeight w:val="554"/>
          <w:jc w:val="center"/>
        </w:trPr>
        <w:tc>
          <w:tcPr>
            <w:tcW w:w="174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Замена 30 м. тепловых сетей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Луначарского</w:t>
            </w:r>
          </w:p>
        </w:tc>
        <w:tc>
          <w:tcPr>
            <w:tcW w:w="332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103,0</w:t>
            </w:r>
          </w:p>
        </w:tc>
        <w:tc>
          <w:tcPr>
            <w:tcW w:w="375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103,0</w:t>
            </w:r>
          </w:p>
        </w:tc>
      </w:tr>
    </w:tbl>
    <w:p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CB8B9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DAA4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07D73"/>
    <w:multiLevelType w:val="hybridMultilevel"/>
    <w:tmpl w:val="C55AAB32"/>
    <w:lvl w:ilvl="0" w:tplc="5170A9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A6C"/>
    <w:multiLevelType w:val="multilevel"/>
    <w:tmpl w:val="0C94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3513676"/>
    <w:multiLevelType w:val="hybridMultilevel"/>
    <w:tmpl w:val="AC907AE8"/>
    <w:lvl w:ilvl="0" w:tplc="B21A3C2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226"/>
    <w:multiLevelType w:val="hybridMultilevel"/>
    <w:tmpl w:val="D0E20C96"/>
    <w:lvl w:ilvl="0" w:tplc="5B66D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B206C4A"/>
    <w:multiLevelType w:val="multilevel"/>
    <w:tmpl w:val="D00CD8DE"/>
    <w:lvl w:ilvl="0">
      <w:start w:val="1"/>
      <w:numFmt w:val="decimal"/>
      <w:lvlText w:val="%1."/>
      <w:lvlJc w:val="left"/>
      <w:pPr>
        <w:ind w:left="885" w:hanging="88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821CB6"/>
    <w:multiLevelType w:val="multilevel"/>
    <w:tmpl w:val="EFC294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B2B6370"/>
    <w:multiLevelType w:val="multilevel"/>
    <w:tmpl w:val="A7CCDC6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52A30E12"/>
    <w:multiLevelType w:val="hybridMultilevel"/>
    <w:tmpl w:val="DF404640"/>
    <w:lvl w:ilvl="0" w:tplc="C1BA84CA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836CF8"/>
    <w:multiLevelType w:val="hybridMultilevel"/>
    <w:tmpl w:val="F5204E5C"/>
    <w:lvl w:ilvl="0" w:tplc="55D8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629FE"/>
    <w:multiLevelType w:val="multilevel"/>
    <w:tmpl w:val="77B834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FB064AF"/>
    <w:multiLevelType w:val="hybridMultilevel"/>
    <w:tmpl w:val="6CC2CBDC"/>
    <w:lvl w:ilvl="0" w:tplc="B32076F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03313"/>
      <w:sz w:val="18"/>
      <w:szCs w:val="18"/>
    </w:rPr>
  </w:style>
  <w:style w:type="paragraph" w:styleId="30">
    <w:name w:val="heading 3"/>
    <w:basedOn w:val="a0"/>
    <w:link w:val="31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link w:val="50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qFormat/>
    <w:pPr>
      <w:keepNext/>
      <w:spacing w:before="100" w:beforeAutospacing="1" w:after="100" w:afterAutospacing="1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287C85"/>
      <w:sz w:val="24"/>
      <w:szCs w:val="18"/>
    </w:rPr>
  </w:style>
  <w:style w:type="paragraph" w:styleId="8">
    <w:name w:val="heading 8"/>
    <w:basedOn w:val="a0"/>
    <w:next w:val="a0"/>
    <w:link w:val="80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4"/>
    </w:rPr>
  </w:style>
  <w:style w:type="paragraph" w:styleId="9">
    <w:name w:val="heading 9"/>
    <w:basedOn w:val="a0"/>
    <w:next w:val="a0"/>
    <w:link w:val="90"/>
    <w:qFormat/>
    <w:pPr>
      <w:keepNext/>
      <w:spacing w:before="100" w:beforeAutospacing="1" w:after="100" w:afterAutospacing="1" w:line="240" w:lineRule="auto"/>
      <w:jc w:val="center"/>
      <w:outlineLvl w:val="8"/>
    </w:pPr>
    <w:rPr>
      <w:rFonts w:ascii="Verdana" w:eastAsia="Times New Roman" w:hAnsi="Verdana" w:cs="Times New Roman"/>
      <w:b/>
      <w:bCs/>
      <w:color w:val="287C85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color w:val="A03313"/>
      <w:sz w:val="18"/>
      <w:szCs w:val="18"/>
    </w:rPr>
  </w:style>
  <w:style w:type="character" w:customStyle="1" w:styleId="31">
    <w:name w:val="Заголовок 3 Знак"/>
    <w:basedOn w:val="a1"/>
    <w:link w:val="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b/>
      <w:bCs/>
      <w:color w:val="287C85"/>
      <w:sz w:val="24"/>
      <w:szCs w:val="18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b/>
      <w:bCs/>
      <w:sz w:val="24"/>
    </w:rPr>
  </w:style>
  <w:style w:type="character" w:customStyle="1" w:styleId="90">
    <w:name w:val="Заголовок 9 Знак"/>
    <w:basedOn w:val="a1"/>
    <w:link w:val="9"/>
    <w:rPr>
      <w:rFonts w:ascii="Verdana" w:eastAsia="Times New Roman" w:hAnsi="Verdana" w:cs="Times New Roman"/>
      <w:b/>
      <w:bCs/>
      <w:color w:val="287C85"/>
      <w:sz w:val="18"/>
      <w:szCs w:val="18"/>
    </w:rPr>
  </w:style>
  <w:style w:type="paragraph" w:styleId="a4">
    <w:name w:val="Body Text"/>
    <w:basedOn w:val="a0"/>
    <w:link w:val="a5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0"/>
    <w:link w:val="a7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</w:style>
  <w:style w:type="paragraph" w:styleId="a8">
    <w:name w:val="footer"/>
    <w:basedOn w:val="a0"/>
    <w:link w:val="a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</w:style>
  <w:style w:type="paragraph" w:styleId="aa">
    <w:name w:val="List Paragraph"/>
    <w:aliases w:val="Введение"/>
    <w:basedOn w:val="a0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aliases w:val="Введение Знак"/>
    <w:link w:val="aa"/>
    <w:uiPriority w:val="34"/>
    <w:locked/>
  </w:style>
  <w:style w:type="paragraph" w:customStyle="1" w:styleId="11">
    <w:name w:val="Абзац списка11"/>
    <w:basedOn w:val="a0"/>
    <w:uiPriority w:val="99"/>
    <w:pPr>
      <w:ind w:left="720"/>
    </w:pPr>
    <w:rPr>
      <w:rFonts w:ascii="Calibri" w:eastAsia="Calibri" w:hAnsi="Calibri" w:cs="Calibri"/>
      <w:lang w:eastAsia="en-US"/>
    </w:rPr>
  </w:style>
  <w:style w:type="paragraph" w:styleId="ac">
    <w:name w:val="Title"/>
    <w:basedOn w:val="a0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AA0">
    <w:name w:val="! AAA ! Знак Знак Знак Знак"/>
    <w:basedOn w:val="a1"/>
    <w:link w:val="AAA"/>
    <w:rPr>
      <w:rFonts w:ascii="Times New Roman" w:eastAsia="Times New Roman" w:hAnsi="Times New Roman" w:cs="Times New Roman"/>
      <w:sz w:val="24"/>
      <w:szCs w:val="16"/>
    </w:rPr>
  </w:style>
  <w:style w:type="paragraph" w:styleId="12">
    <w:name w:val="toc 1"/>
    <w:basedOn w:val="a0"/>
    <w:next w:val="a0"/>
    <w:autoRedefine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character" w:styleId="ae">
    <w:name w:val="Hyperlink"/>
    <w:basedOn w:val="a1"/>
    <w:uiPriority w:val="99"/>
    <w:unhideWhenUsed/>
    <w:rPr>
      <w:color w:val="0000FF"/>
      <w:u w:val="single"/>
    </w:rPr>
  </w:style>
  <w:style w:type="paragraph" w:styleId="z-">
    <w:name w:val="HTML Bottom of Form"/>
    <w:basedOn w:val="a0"/>
    <w:next w:val="a0"/>
    <w:link w:val="z-0"/>
    <w: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Pr>
      <w:rFonts w:ascii="Arial" w:eastAsia="Times New Roman" w:hAnsi="Arial" w:cs="Arial"/>
      <w:vanish/>
      <w:sz w:val="16"/>
      <w:szCs w:val="1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1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1">
    <w:name w:val="Знак Знак5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Pr>
      <w:rFonts w:ascii="Arial" w:eastAsia="Times New Roman" w:hAnsi="Arial" w:cs="Arial"/>
      <w:vanish/>
      <w:sz w:val="16"/>
      <w:szCs w:val="16"/>
    </w:rPr>
  </w:style>
  <w:style w:type="character" w:customStyle="1" w:styleId="41">
    <w:name w:val="Знак Знак4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нак Знак3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нак Знак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0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Pr>
      <w:rFonts w:ascii="Tahoma" w:eastAsia="Times New Roman" w:hAnsi="Tahoma" w:cs="Tahoma"/>
      <w:sz w:val="16"/>
      <w:szCs w:val="16"/>
    </w:rPr>
  </w:style>
  <w:style w:type="paragraph" w:styleId="3">
    <w:name w:val="List Bullet 3"/>
    <w:basedOn w:val="a0"/>
    <w:autoRedefine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semiHidden/>
    <w:rPr>
      <w:lang w:val="ru-RU" w:eastAsia="ru-RU" w:bidi="ar-SA"/>
    </w:rPr>
  </w:style>
  <w:style w:type="character" w:styleId="af1">
    <w:name w:val="page number"/>
    <w:rPr>
      <w:rFonts w:cs="Times New Roman"/>
    </w:rPr>
  </w:style>
  <w:style w:type="character" w:customStyle="1" w:styleId="af2">
    <w:name w:val="Знак Знак"/>
    <w:semiHidden/>
    <w:rPr>
      <w:sz w:val="28"/>
      <w:szCs w:val="28"/>
      <w:lang w:val="ru-RU" w:eastAsia="ru-RU" w:bidi="ar-SA"/>
    </w:rPr>
  </w:style>
  <w:style w:type="paragraph" w:styleId="af3">
    <w:name w:val="caption"/>
    <w:aliases w:val="Char1"/>
    <w:basedOn w:val="a0"/>
    <w:next w:val="a0"/>
    <w:qFormat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4">
    <w:name w:val="Знак Знак Знак"/>
    <w:basedOn w:val="a0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Pr>
      <w:rFonts w:ascii="Calibri" w:eastAsia="Times New Roman" w:hAnsi="Calibri" w:cs="Times New Roman"/>
      <w:sz w:val="16"/>
      <w:szCs w:val="16"/>
    </w:rPr>
  </w:style>
  <w:style w:type="paragraph" w:styleId="af5">
    <w:name w:val="Normal (Web)"/>
    <w:basedOn w:val="a0"/>
    <w:uiPriority w:val="99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rPr>
      <w:rFonts w:ascii="Calibri" w:eastAsia="Times New Roman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pPr>
      <w:tabs>
        <w:tab w:val="left" w:pos="1134"/>
      </w:tabs>
      <w:spacing w:before="180" w:after="0" w:line="288" w:lineRule="auto"/>
      <w:ind w:left="1134" w:hanging="5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6">
    <w:name w:val="Body Text Indent"/>
    <w:basedOn w:val="a0"/>
    <w:link w:val="af7"/>
    <w:pPr>
      <w:ind w:firstLine="720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af7">
    <w:name w:val="Основной текст с отступом Знак"/>
    <w:basedOn w:val="a1"/>
    <w:link w:val="af6"/>
    <w:rPr>
      <w:rFonts w:ascii="Verdana" w:eastAsia="Times New Roman" w:hAnsi="Verdana" w:cs="Times New Roman"/>
      <w:b/>
      <w:bCs/>
      <w:sz w:val="18"/>
      <w:szCs w:val="18"/>
    </w:rPr>
  </w:style>
  <w:style w:type="paragraph" w:styleId="af8">
    <w:name w:val="Plain Text"/>
    <w:basedOn w:val="a0"/>
    <w:link w:val="a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Pr>
      <w:rFonts w:ascii="Courier New" w:eastAsia="Times New Roman" w:hAnsi="Courier New" w:cs="Times New Roman"/>
      <w:sz w:val="20"/>
      <w:szCs w:val="20"/>
    </w:rPr>
  </w:style>
  <w:style w:type="paragraph" w:styleId="afa">
    <w:name w:val="List"/>
    <w:basedOn w:val="a0"/>
    <w:pPr>
      <w:ind w:left="283" w:hanging="283"/>
    </w:pPr>
    <w:rPr>
      <w:rFonts w:ascii="Calibri" w:eastAsia="Times New Roman" w:hAnsi="Calibri" w:cs="Times New Roman"/>
    </w:rPr>
  </w:style>
  <w:style w:type="paragraph" w:styleId="afb">
    <w:name w:val="Salutation"/>
    <w:basedOn w:val="a0"/>
    <w:next w:val="a0"/>
    <w:link w:val="afc"/>
    <w:rPr>
      <w:rFonts w:ascii="Calibri" w:eastAsia="Times New Roman" w:hAnsi="Calibri" w:cs="Times New Roman"/>
    </w:rPr>
  </w:style>
  <w:style w:type="character" w:customStyle="1" w:styleId="afc">
    <w:name w:val="Приветствие Знак"/>
    <w:basedOn w:val="a1"/>
    <w:link w:val="afb"/>
    <w:rPr>
      <w:rFonts w:ascii="Calibri" w:eastAsia="Times New Roman" w:hAnsi="Calibri" w:cs="Times New Roman"/>
    </w:rPr>
  </w:style>
  <w:style w:type="paragraph" w:styleId="24">
    <w:name w:val="Body Text Indent 2"/>
    <w:basedOn w:val="a0"/>
    <w:link w:val="25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bullit">
    <w:name w:val="! L=bullit !"/>
    <w:basedOn w:val="AAA"/>
    <w:link w:val="Lbullit0"/>
    <w:pPr>
      <w:numPr>
        <w:numId w:val="5"/>
      </w:numPr>
      <w:spacing w:before="60" w:after="60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1"/>
    <w:basedOn w:val="12"/>
    <w:qFormat/>
    <w:pPr>
      <w:spacing w:before="120" w:after="120"/>
      <w:ind w:right="565"/>
      <w:jc w:val="center"/>
    </w:pPr>
    <w:rPr>
      <w:b/>
    </w:rPr>
  </w:style>
  <w:style w:type="paragraph" w:styleId="afd">
    <w:name w:val="No Spacing"/>
    <w:link w:val="afe"/>
    <w:qFormat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e">
    <w:name w:val="Без интервала Знак"/>
    <w:link w:val="afd"/>
    <w:rPr>
      <w:rFonts w:ascii="Calibri" w:eastAsia="Times New Roman" w:hAnsi="Calibri" w:cs="Times New Roman"/>
      <w:lang w:eastAsia="en-US"/>
    </w:rPr>
  </w:style>
  <w:style w:type="paragraph" w:styleId="26">
    <w:name w:val="List 2"/>
    <w:basedOn w:val="a0"/>
    <w:pPr>
      <w:ind w:left="566" w:hanging="283"/>
    </w:pPr>
    <w:rPr>
      <w:rFonts w:ascii="Calibri" w:eastAsia="Times New Roman" w:hAnsi="Calibri" w:cs="Times New Roman"/>
    </w:rPr>
  </w:style>
  <w:style w:type="paragraph" w:styleId="35">
    <w:name w:val="List 3"/>
    <w:basedOn w:val="a0"/>
    <w:pPr>
      <w:ind w:left="849" w:hanging="283"/>
    </w:pPr>
    <w:rPr>
      <w:rFonts w:ascii="Calibri" w:eastAsia="Times New Roman" w:hAnsi="Calibri" w:cs="Times New Roman"/>
    </w:rPr>
  </w:style>
  <w:style w:type="paragraph" w:styleId="42">
    <w:name w:val="List 4"/>
    <w:basedOn w:val="a0"/>
    <w:pPr>
      <w:ind w:left="1132" w:hanging="283"/>
    </w:pPr>
    <w:rPr>
      <w:rFonts w:ascii="Calibri" w:eastAsia="Times New Roman" w:hAnsi="Calibri" w:cs="Times New Roman"/>
    </w:rPr>
  </w:style>
  <w:style w:type="paragraph" w:styleId="a">
    <w:name w:val="List Bullet"/>
    <w:basedOn w:val="a0"/>
    <w:pPr>
      <w:numPr>
        <w:numId w:val="4"/>
      </w:numPr>
    </w:pPr>
    <w:rPr>
      <w:rFonts w:ascii="Calibri" w:eastAsia="Times New Roman" w:hAnsi="Calibri" w:cs="Times New Roman"/>
    </w:rPr>
  </w:style>
  <w:style w:type="paragraph" w:styleId="27">
    <w:name w:val="List Continue 2"/>
    <w:basedOn w:val="a0"/>
    <w:pPr>
      <w:spacing w:after="120"/>
      <w:ind w:left="566"/>
    </w:pPr>
    <w:rPr>
      <w:rFonts w:ascii="Calibri" w:eastAsia="Times New Roman" w:hAnsi="Calibri" w:cs="Times New Roman"/>
    </w:rPr>
  </w:style>
  <w:style w:type="paragraph" w:styleId="aff">
    <w:name w:val="Normal Indent"/>
    <w:basedOn w:val="a0"/>
    <w:pPr>
      <w:ind w:left="708"/>
    </w:pPr>
    <w:rPr>
      <w:rFonts w:ascii="Calibri" w:eastAsia="Times New Roman" w:hAnsi="Calibri" w:cs="Times New Roman"/>
    </w:rPr>
  </w:style>
  <w:style w:type="paragraph" w:styleId="aff0">
    <w:name w:val="Body Text First Indent"/>
    <w:basedOn w:val="a4"/>
    <w:link w:val="aff1"/>
    <w:pPr>
      <w:suppressAutoHyphens w:val="0"/>
      <w:spacing w:after="120" w:line="276" w:lineRule="auto"/>
      <w:ind w:right="0" w:firstLine="21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Красная строка Знак"/>
    <w:basedOn w:val="a5"/>
    <w:link w:val="aff0"/>
    <w:rPr>
      <w:rFonts w:ascii="Calibri" w:eastAsia="Times New Roman" w:hAnsi="Calibri" w:cs="Times New Roman"/>
      <w:sz w:val="28"/>
      <w:szCs w:val="20"/>
      <w:lang w:eastAsia="ar-SA"/>
    </w:rPr>
  </w:style>
  <w:style w:type="paragraph" w:styleId="28">
    <w:name w:val="Body Text First Indent 2"/>
    <w:basedOn w:val="af6"/>
    <w:link w:val="29"/>
    <w:pPr>
      <w:spacing w:after="120"/>
      <w:ind w:left="283" w:firstLine="210"/>
    </w:pPr>
    <w:rPr>
      <w:rFonts w:ascii="Calibri" w:hAnsi="Calibri"/>
      <w:b w:val="0"/>
      <w:bCs w:val="0"/>
      <w:sz w:val="22"/>
      <w:szCs w:val="22"/>
    </w:rPr>
  </w:style>
  <w:style w:type="character" w:customStyle="1" w:styleId="29">
    <w:name w:val="Красная строка 2 Знак"/>
    <w:basedOn w:val="af7"/>
    <w:link w:val="28"/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ff2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</w:style>
  <w:style w:type="character" w:customStyle="1" w:styleId="js-extracted-address">
    <w:name w:val="js-extracted-address"/>
    <w:basedOn w:val="a1"/>
  </w:style>
  <w:style w:type="character" w:customStyle="1" w:styleId="mail-message-map-nobreak">
    <w:name w:val="mail-message-map-nobreak"/>
    <w:basedOn w:val="a1"/>
  </w:style>
  <w:style w:type="character" w:styleId="aff3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03313"/>
      <w:sz w:val="18"/>
      <w:szCs w:val="18"/>
    </w:rPr>
  </w:style>
  <w:style w:type="paragraph" w:styleId="30">
    <w:name w:val="heading 3"/>
    <w:basedOn w:val="a0"/>
    <w:link w:val="31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link w:val="50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link w:val="60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qFormat/>
    <w:pPr>
      <w:keepNext/>
      <w:spacing w:before="100" w:beforeAutospacing="1" w:after="100" w:afterAutospacing="1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287C85"/>
      <w:sz w:val="24"/>
      <w:szCs w:val="18"/>
    </w:rPr>
  </w:style>
  <w:style w:type="paragraph" w:styleId="8">
    <w:name w:val="heading 8"/>
    <w:basedOn w:val="a0"/>
    <w:next w:val="a0"/>
    <w:link w:val="80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4"/>
    </w:rPr>
  </w:style>
  <w:style w:type="paragraph" w:styleId="9">
    <w:name w:val="heading 9"/>
    <w:basedOn w:val="a0"/>
    <w:next w:val="a0"/>
    <w:link w:val="90"/>
    <w:qFormat/>
    <w:pPr>
      <w:keepNext/>
      <w:spacing w:before="100" w:beforeAutospacing="1" w:after="100" w:afterAutospacing="1" w:line="240" w:lineRule="auto"/>
      <w:jc w:val="center"/>
      <w:outlineLvl w:val="8"/>
    </w:pPr>
    <w:rPr>
      <w:rFonts w:ascii="Verdana" w:eastAsia="Times New Roman" w:hAnsi="Verdana" w:cs="Times New Roman"/>
      <w:b/>
      <w:bCs/>
      <w:color w:val="287C85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color w:val="A03313"/>
      <w:sz w:val="18"/>
      <w:szCs w:val="18"/>
    </w:rPr>
  </w:style>
  <w:style w:type="character" w:customStyle="1" w:styleId="31">
    <w:name w:val="Заголовок 3 Знак"/>
    <w:basedOn w:val="a1"/>
    <w:link w:val="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b/>
      <w:bCs/>
      <w:color w:val="287C85"/>
      <w:sz w:val="24"/>
      <w:szCs w:val="18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b/>
      <w:bCs/>
      <w:sz w:val="24"/>
    </w:rPr>
  </w:style>
  <w:style w:type="character" w:customStyle="1" w:styleId="90">
    <w:name w:val="Заголовок 9 Знак"/>
    <w:basedOn w:val="a1"/>
    <w:link w:val="9"/>
    <w:rPr>
      <w:rFonts w:ascii="Verdana" w:eastAsia="Times New Roman" w:hAnsi="Verdana" w:cs="Times New Roman"/>
      <w:b/>
      <w:bCs/>
      <w:color w:val="287C85"/>
      <w:sz w:val="18"/>
      <w:szCs w:val="18"/>
    </w:rPr>
  </w:style>
  <w:style w:type="paragraph" w:styleId="a4">
    <w:name w:val="Body Text"/>
    <w:basedOn w:val="a0"/>
    <w:link w:val="a5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0"/>
    <w:link w:val="a7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</w:style>
  <w:style w:type="paragraph" w:styleId="a8">
    <w:name w:val="footer"/>
    <w:basedOn w:val="a0"/>
    <w:link w:val="a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</w:style>
  <w:style w:type="paragraph" w:styleId="aa">
    <w:name w:val="List Paragraph"/>
    <w:aliases w:val="Введение"/>
    <w:basedOn w:val="a0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aliases w:val="Введение Знак"/>
    <w:link w:val="aa"/>
    <w:uiPriority w:val="34"/>
    <w:locked/>
  </w:style>
  <w:style w:type="paragraph" w:customStyle="1" w:styleId="11">
    <w:name w:val="Абзац списка11"/>
    <w:basedOn w:val="a0"/>
    <w:uiPriority w:val="99"/>
    <w:pPr>
      <w:ind w:left="720"/>
    </w:pPr>
    <w:rPr>
      <w:rFonts w:ascii="Calibri" w:eastAsia="Calibri" w:hAnsi="Calibri" w:cs="Calibri"/>
      <w:lang w:eastAsia="en-US"/>
    </w:rPr>
  </w:style>
  <w:style w:type="paragraph" w:styleId="ac">
    <w:name w:val="Title"/>
    <w:basedOn w:val="a0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AA0">
    <w:name w:val="! AAA ! Знак Знак Знак Знак"/>
    <w:basedOn w:val="a1"/>
    <w:link w:val="AAA"/>
    <w:rPr>
      <w:rFonts w:ascii="Times New Roman" w:eastAsia="Times New Roman" w:hAnsi="Times New Roman" w:cs="Times New Roman"/>
      <w:sz w:val="24"/>
      <w:szCs w:val="16"/>
    </w:rPr>
  </w:style>
  <w:style w:type="paragraph" w:styleId="12">
    <w:name w:val="toc 1"/>
    <w:basedOn w:val="a0"/>
    <w:next w:val="a0"/>
    <w:autoRedefine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character" w:styleId="ae">
    <w:name w:val="Hyperlink"/>
    <w:basedOn w:val="a1"/>
    <w:uiPriority w:val="99"/>
    <w:unhideWhenUsed/>
    <w:rPr>
      <w:color w:val="0000FF"/>
      <w:u w:val="single"/>
    </w:rPr>
  </w:style>
  <w:style w:type="paragraph" w:styleId="z-">
    <w:name w:val="HTML Bottom of Form"/>
    <w:basedOn w:val="a0"/>
    <w:next w:val="a0"/>
    <w:link w:val="z-0"/>
    <w: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Pr>
      <w:rFonts w:ascii="Arial" w:eastAsia="Times New Roman" w:hAnsi="Arial" w:cs="Arial"/>
      <w:vanish/>
      <w:sz w:val="16"/>
      <w:szCs w:val="1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1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1">
    <w:name w:val="Знак Знак5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Pr>
      <w:rFonts w:ascii="Arial" w:eastAsia="Times New Roman" w:hAnsi="Arial" w:cs="Arial"/>
      <w:vanish/>
      <w:sz w:val="16"/>
      <w:szCs w:val="16"/>
    </w:rPr>
  </w:style>
  <w:style w:type="character" w:customStyle="1" w:styleId="41">
    <w:name w:val="Знак Знак4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нак Знак3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нак Знак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0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Pr>
      <w:rFonts w:ascii="Tahoma" w:eastAsia="Times New Roman" w:hAnsi="Tahoma" w:cs="Tahoma"/>
      <w:sz w:val="16"/>
      <w:szCs w:val="16"/>
    </w:rPr>
  </w:style>
  <w:style w:type="paragraph" w:styleId="3">
    <w:name w:val="List Bullet 3"/>
    <w:basedOn w:val="a0"/>
    <w:autoRedefine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semiHidden/>
    <w:rPr>
      <w:lang w:val="ru-RU" w:eastAsia="ru-RU" w:bidi="ar-SA"/>
    </w:rPr>
  </w:style>
  <w:style w:type="character" w:styleId="af1">
    <w:name w:val="page number"/>
    <w:rPr>
      <w:rFonts w:cs="Times New Roman"/>
    </w:rPr>
  </w:style>
  <w:style w:type="character" w:customStyle="1" w:styleId="af2">
    <w:name w:val="Знак Знак"/>
    <w:semiHidden/>
    <w:rPr>
      <w:sz w:val="28"/>
      <w:szCs w:val="28"/>
      <w:lang w:val="ru-RU" w:eastAsia="ru-RU" w:bidi="ar-SA"/>
    </w:rPr>
  </w:style>
  <w:style w:type="paragraph" w:styleId="af3">
    <w:name w:val="caption"/>
    <w:aliases w:val="Char1"/>
    <w:basedOn w:val="a0"/>
    <w:next w:val="a0"/>
    <w:qFormat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4">
    <w:name w:val="Знак Знак Знак"/>
    <w:basedOn w:val="a0"/>
    <w:pPr>
      <w:spacing w:after="0" w:line="240" w:lineRule="auto"/>
      <w:ind w:firstLine="902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Pr>
      <w:rFonts w:ascii="Calibri" w:eastAsia="Times New Roman" w:hAnsi="Calibri" w:cs="Times New Roman"/>
      <w:sz w:val="16"/>
      <w:szCs w:val="16"/>
    </w:rPr>
  </w:style>
  <w:style w:type="paragraph" w:styleId="af5">
    <w:name w:val="Normal (Web)"/>
    <w:basedOn w:val="a0"/>
    <w:uiPriority w:val="99"/>
    <w:pPr>
      <w:spacing w:before="100" w:beforeAutospacing="1" w:after="100" w:afterAutospacing="1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rPr>
      <w:rFonts w:ascii="Calibri" w:eastAsia="Times New Roman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pPr>
      <w:tabs>
        <w:tab w:val="left" w:pos="1134"/>
      </w:tabs>
      <w:spacing w:before="180" w:after="0" w:line="288" w:lineRule="auto"/>
      <w:ind w:left="1134" w:hanging="5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6">
    <w:name w:val="Body Text Indent"/>
    <w:basedOn w:val="a0"/>
    <w:link w:val="af7"/>
    <w:pPr>
      <w:ind w:firstLine="720"/>
    </w:pPr>
    <w:rPr>
      <w:rFonts w:ascii="Verdana" w:eastAsia="Times New Roman" w:hAnsi="Verdana" w:cs="Times New Roman"/>
      <w:b/>
      <w:bCs/>
      <w:sz w:val="18"/>
      <w:szCs w:val="18"/>
    </w:rPr>
  </w:style>
  <w:style w:type="character" w:customStyle="1" w:styleId="af7">
    <w:name w:val="Основной текст с отступом Знак"/>
    <w:basedOn w:val="a1"/>
    <w:link w:val="af6"/>
    <w:rPr>
      <w:rFonts w:ascii="Verdana" w:eastAsia="Times New Roman" w:hAnsi="Verdana" w:cs="Times New Roman"/>
      <w:b/>
      <w:bCs/>
      <w:sz w:val="18"/>
      <w:szCs w:val="18"/>
    </w:rPr>
  </w:style>
  <w:style w:type="paragraph" w:styleId="af8">
    <w:name w:val="Plain Text"/>
    <w:basedOn w:val="a0"/>
    <w:link w:val="a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Pr>
      <w:rFonts w:ascii="Courier New" w:eastAsia="Times New Roman" w:hAnsi="Courier New" w:cs="Times New Roman"/>
      <w:sz w:val="20"/>
      <w:szCs w:val="20"/>
    </w:rPr>
  </w:style>
  <w:style w:type="paragraph" w:styleId="afa">
    <w:name w:val="List"/>
    <w:basedOn w:val="a0"/>
    <w:pPr>
      <w:ind w:left="283" w:hanging="283"/>
    </w:pPr>
    <w:rPr>
      <w:rFonts w:ascii="Calibri" w:eastAsia="Times New Roman" w:hAnsi="Calibri" w:cs="Times New Roman"/>
    </w:rPr>
  </w:style>
  <w:style w:type="paragraph" w:styleId="afb">
    <w:name w:val="Salutation"/>
    <w:basedOn w:val="a0"/>
    <w:next w:val="a0"/>
    <w:link w:val="afc"/>
    <w:rPr>
      <w:rFonts w:ascii="Calibri" w:eastAsia="Times New Roman" w:hAnsi="Calibri" w:cs="Times New Roman"/>
    </w:rPr>
  </w:style>
  <w:style w:type="character" w:customStyle="1" w:styleId="afc">
    <w:name w:val="Приветствие Знак"/>
    <w:basedOn w:val="a1"/>
    <w:link w:val="afb"/>
    <w:rPr>
      <w:rFonts w:ascii="Calibri" w:eastAsia="Times New Roman" w:hAnsi="Calibri" w:cs="Times New Roman"/>
    </w:rPr>
  </w:style>
  <w:style w:type="paragraph" w:styleId="24">
    <w:name w:val="Body Text Indent 2"/>
    <w:basedOn w:val="a0"/>
    <w:link w:val="25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bullit">
    <w:name w:val="! L=bullit !"/>
    <w:basedOn w:val="AAA"/>
    <w:link w:val="Lbullit0"/>
    <w:pPr>
      <w:numPr>
        <w:numId w:val="5"/>
      </w:numPr>
      <w:spacing w:before="60" w:after="60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1"/>
    <w:basedOn w:val="12"/>
    <w:qFormat/>
    <w:pPr>
      <w:spacing w:before="120" w:after="120"/>
      <w:ind w:right="565"/>
      <w:jc w:val="center"/>
    </w:pPr>
    <w:rPr>
      <w:b/>
    </w:rPr>
  </w:style>
  <w:style w:type="paragraph" w:styleId="afd">
    <w:name w:val="No Spacing"/>
    <w:link w:val="afe"/>
    <w:qFormat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e">
    <w:name w:val="Без интервала Знак"/>
    <w:link w:val="afd"/>
    <w:rPr>
      <w:rFonts w:ascii="Calibri" w:eastAsia="Times New Roman" w:hAnsi="Calibri" w:cs="Times New Roman"/>
      <w:lang w:eastAsia="en-US"/>
    </w:rPr>
  </w:style>
  <w:style w:type="paragraph" w:styleId="26">
    <w:name w:val="List 2"/>
    <w:basedOn w:val="a0"/>
    <w:pPr>
      <w:ind w:left="566" w:hanging="283"/>
    </w:pPr>
    <w:rPr>
      <w:rFonts w:ascii="Calibri" w:eastAsia="Times New Roman" w:hAnsi="Calibri" w:cs="Times New Roman"/>
    </w:rPr>
  </w:style>
  <w:style w:type="paragraph" w:styleId="35">
    <w:name w:val="List 3"/>
    <w:basedOn w:val="a0"/>
    <w:pPr>
      <w:ind w:left="849" w:hanging="283"/>
    </w:pPr>
    <w:rPr>
      <w:rFonts w:ascii="Calibri" w:eastAsia="Times New Roman" w:hAnsi="Calibri" w:cs="Times New Roman"/>
    </w:rPr>
  </w:style>
  <w:style w:type="paragraph" w:styleId="42">
    <w:name w:val="List 4"/>
    <w:basedOn w:val="a0"/>
    <w:pPr>
      <w:ind w:left="1132" w:hanging="283"/>
    </w:pPr>
    <w:rPr>
      <w:rFonts w:ascii="Calibri" w:eastAsia="Times New Roman" w:hAnsi="Calibri" w:cs="Times New Roman"/>
    </w:rPr>
  </w:style>
  <w:style w:type="paragraph" w:styleId="a">
    <w:name w:val="List Bullet"/>
    <w:basedOn w:val="a0"/>
    <w:pPr>
      <w:numPr>
        <w:numId w:val="4"/>
      </w:numPr>
    </w:pPr>
    <w:rPr>
      <w:rFonts w:ascii="Calibri" w:eastAsia="Times New Roman" w:hAnsi="Calibri" w:cs="Times New Roman"/>
    </w:rPr>
  </w:style>
  <w:style w:type="paragraph" w:styleId="27">
    <w:name w:val="List Continue 2"/>
    <w:basedOn w:val="a0"/>
    <w:pPr>
      <w:spacing w:after="120"/>
      <w:ind w:left="566"/>
    </w:pPr>
    <w:rPr>
      <w:rFonts w:ascii="Calibri" w:eastAsia="Times New Roman" w:hAnsi="Calibri" w:cs="Times New Roman"/>
    </w:rPr>
  </w:style>
  <w:style w:type="paragraph" w:styleId="aff">
    <w:name w:val="Normal Indent"/>
    <w:basedOn w:val="a0"/>
    <w:pPr>
      <w:ind w:left="708"/>
    </w:pPr>
    <w:rPr>
      <w:rFonts w:ascii="Calibri" w:eastAsia="Times New Roman" w:hAnsi="Calibri" w:cs="Times New Roman"/>
    </w:rPr>
  </w:style>
  <w:style w:type="paragraph" w:styleId="aff0">
    <w:name w:val="Body Text First Indent"/>
    <w:basedOn w:val="a4"/>
    <w:link w:val="aff1"/>
    <w:pPr>
      <w:suppressAutoHyphens w:val="0"/>
      <w:spacing w:after="120" w:line="276" w:lineRule="auto"/>
      <w:ind w:right="0" w:firstLine="21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Красная строка Знак"/>
    <w:basedOn w:val="a5"/>
    <w:link w:val="aff0"/>
    <w:rPr>
      <w:rFonts w:ascii="Calibri" w:eastAsia="Times New Roman" w:hAnsi="Calibri" w:cs="Times New Roman"/>
      <w:sz w:val="28"/>
      <w:szCs w:val="20"/>
      <w:lang w:eastAsia="ar-SA"/>
    </w:rPr>
  </w:style>
  <w:style w:type="paragraph" w:styleId="28">
    <w:name w:val="Body Text First Indent 2"/>
    <w:basedOn w:val="af6"/>
    <w:link w:val="29"/>
    <w:pPr>
      <w:spacing w:after="120"/>
      <w:ind w:left="283" w:firstLine="210"/>
    </w:pPr>
    <w:rPr>
      <w:rFonts w:ascii="Calibri" w:hAnsi="Calibri"/>
      <w:b w:val="0"/>
      <w:bCs w:val="0"/>
      <w:sz w:val="22"/>
      <w:szCs w:val="22"/>
    </w:rPr>
  </w:style>
  <w:style w:type="character" w:customStyle="1" w:styleId="29">
    <w:name w:val="Красная строка 2 Знак"/>
    <w:basedOn w:val="af7"/>
    <w:link w:val="28"/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ff2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</w:style>
  <w:style w:type="character" w:customStyle="1" w:styleId="js-extracted-address">
    <w:name w:val="js-extracted-address"/>
    <w:basedOn w:val="a1"/>
  </w:style>
  <w:style w:type="character" w:customStyle="1" w:styleId="mail-message-map-nobreak">
    <w:name w:val="mail-message-map-nobreak"/>
    <w:basedOn w:val="a1"/>
  </w:style>
  <w:style w:type="character" w:styleId="aff3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89">
              <w:marLeft w:val="0"/>
              <w:marRight w:val="0"/>
              <w:marTop w:val="0"/>
              <w:marBottom w:val="0"/>
              <w:divBdr>
                <w:top w:val="single" w:sz="6" w:space="17" w:color="E4E3DF"/>
                <w:left w:val="single" w:sz="6" w:space="0" w:color="E4E3DF"/>
                <w:bottom w:val="single" w:sz="6" w:space="25" w:color="E4E3DF"/>
                <w:right w:val="single" w:sz="6" w:space="0" w:color="E4E3DF"/>
              </w:divBdr>
              <w:divsChild>
                <w:div w:id="866482628">
                  <w:marLeft w:val="502"/>
                  <w:marRight w:val="502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5DD8-AC3B-48D2-A9BD-43F47626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22</cp:revision>
  <cp:lastPrinted>2018-03-04T06:37:00Z</cp:lastPrinted>
  <dcterms:created xsi:type="dcterms:W3CDTF">2018-03-02T12:23:00Z</dcterms:created>
  <dcterms:modified xsi:type="dcterms:W3CDTF">2018-03-12T12:19:00Z</dcterms:modified>
</cp:coreProperties>
</file>